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40A95DA4" w14:textId="77777777" w:rsidTr="002922CF">
        <w:tc>
          <w:tcPr>
            <w:tcW w:w="5000" w:type="pct"/>
            <w:shd w:val="clear" w:color="auto" w:fill="3366FF"/>
          </w:tcPr>
          <w:p w14:paraId="7A343A31" w14:textId="77777777" w:rsidR="003271FC" w:rsidRPr="008C33D2" w:rsidRDefault="002922CF" w:rsidP="00F7010E">
            <w:pPr>
              <w:pStyle w:val="Heading1"/>
            </w:pPr>
            <w:r>
              <w:t>Circle Language Spec: Black Boxes</w:t>
            </w:r>
          </w:p>
        </w:tc>
      </w:tr>
    </w:tbl>
    <w:p w14:paraId="3C7A2F86" w14:textId="0ADE244C" w:rsidR="000F652F" w:rsidRDefault="00467812" w:rsidP="003271FC">
      <w:pPr>
        <w:pStyle w:val="Heading2"/>
      </w:pPr>
      <w:r>
        <w:t>Black Box</w:t>
      </w:r>
      <w:r w:rsidR="00FB1C8B">
        <w:t>es</w:t>
      </w:r>
      <w:r>
        <w:t xml:space="preserve"> </w:t>
      </w:r>
      <w:r w:rsidR="00FE555D">
        <w:t>Construct Drafts Ideas</w:t>
      </w:r>
    </w:p>
    <w:p w14:paraId="3ED567EA" w14:textId="6AACECE0" w:rsidR="00FB1C8B" w:rsidRDefault="00590595" w:rsidP="00FB1C8B">
      <w:pPr>
        <w:pStyle w:val="Heading3"/>
      </w:pPr>
      <w:r>
        <w:t>May Cover Last</w:t>
      </w:r>
    </w:p>
    <w:p w14:paraId="606D6849" w14:textId="77777777" w:rsidR="00403C60" w:rsidRDefault="00403C60" w:rsidP="00403C60">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6046AE88" w14:textId="77777777" w:rsidR="00403C60" w:rsidRDefault="00403C60" w:rsidP="00403C60">
      <w:pPr>
        <w:pStyle w:val="Spacing"/>
      </w:pPr>
    </w:p>
    <w:p w14:paraId="12A27478" w14:textId="77777777" w:rsidR="00403C60" w:rsidRDefault="00403C60" w:rsidP="00403C60">
      <w:r>
        <w:t>Some of the topics might be deleted and others might not.</w:t>
      </w:r>
    </w:p>
    <w:p w14:paraId="7CD0AF81" w14:textId="77777777" w:rsidR="00907EE6" w:rsidRDefault="00907EE6" w:rsidP="00907EE6">
      <w:pPr>
        <w:pStyle w:val="Heading4"/>
      </w:pPr>
      <w:r>
        <w:t>Level Limitation</w:t>
      </w:r>
    </w:p>
    <w:p w14:paraId="6CE9D3AF" w14:textId="77777777" w:rsidR="00907EE6" w:rsidRDefault="00907EE6" w:rsidP="00907EE6">
      <w:r>
        <w:t xml:space="preserve">&lt; Exclusion is restriction set by a container. Level restriction is like exclusion set by a child </w:t>
      </w:r>
      <w:r>
        <w:rPr>
          <w:i/>
          <w:iCs/>
        </w:rPr>
        <w:t>for</w:t>
      </w:r>
      <w:r>
        <w:t xml:space="preserve"> the container. &gt;</w:t>
      </w:r>
    </w:p>
    <w:p w14:paraId="616AC919" w14:textId="77777777" w:rsidR="00907EE6" w:rsidRDefault="00907EE6" w:rsidP="00907EE6"/>
    <w:p w14:paraId="58B1ACE8" w14:textId="77777777" w:rsidR="00907EE6" w:rsidRPr="005B5567" w:rsidRDefault="00907EE6" w:rsidP="00907EE6">
      <w:pPr>
        <w:ind w:left="812" w:hanging="244"/>
      </w:pPr>
      <w:r>
        <w:t>&gt; 2009-06-27: I am not sure why I would need a child object to restrict the number of levels up it is accessible… why? for protection? Well… I would better resort to use access control for such protections…</w:t>
      </w:r>
    </w:p>
    <w:p w14:paraId="33431E8B" w14:textId="77777777" w:rsidR="00907EE6" w:rsidRDefault="00907EE6" w:rsidP="00907EE6"/>
    <w:p w14:paraId="30F7814E" w14:textId="77777777" w:rsidR="00907EE6" w:rsidRDefault="00907EE6" w:rsidP="00907EE6">
      <w:r>
        <w:t xml:space="preserve">Basic access controllers are decisive, but level limitation adds additional restriction. </w:t>
      </w:r>
    </w:p>
    <w:p w14:paraId="222859C4" w14:textId="77777777" w:rsidR="00907EE6" w:rsidRDefault="00907EE6" w:rsidP="00907EE6"/>
    <w:p w14:paraId="0108722C" w14:textId="77777777" w:rsidR="00907EE6" w:rsidRDefault="00907EE6" w:rsidP="00907EE6">
      <w:r>
        <w:t>Level limitation is paired with the basic access controller.</w:t>
      </w:r>
    </w:p>
    <w:p w14:paraId="3C10BDC7" w14:textId="77777777" w:rsidR="00907EE6" w:rsidRDefault="00907EE6" w:rsidP="00907EE6"/>
    <w:p w14:paraId="694D532F" w14:textId="77777777" w:rsidR="00907EE6" w:rsidRDefault="00907EE6" w:rsidP="00907EE6">
      <w:r>
        <w:t>Pairing object level limitation with the Public access modifier, makes a procedure public only to limited number of levels up the ancestry.</w:t>
      </w:r>
    </w:p>
    <w:p w14:paraId="567D19D9" w14:textId="77777777" w:rsidR="00907EE6" w:rsidRDefault="00907EE6" w:rsidP="00907EE6"/>
    <w:p w14:paraId="185589A1" w14:textId="77777777" w:rsidR="00907EE6" w:rsidRDefault="00907EE6" w:rsidP="00907EE6">
      <w:pPr>
        <w:pStyle w:val="Code"/>
        <w:ind w:firstLine="360"/>
      </w:pPr>
      <w:r>
        <w:t xml:space="preserve">Public </w:t>
      </w:r>
      <w:r>
        <w:rPr>
          <w:i/>
          <w:iCs/>
        </w:rPr>
        <w:t>Up 2</w:t>
      </w:r>
    </w:p>
    <w:p w14:paraId="248D9944" w14:textId="77777777" w:rsidR="00907EE6" w:rsidRDefault="00907EE6" w:rsidP="00907EE6"/>
    <w:p w14:paraId="673D8CE2" w14:textId="77777777" w:rsidR="00907EE6" w:rsidRDefault="00907EE6" w:rsidP="00907EE6">
      <w:r>
        <w:t>A procedure with this access modifier is accessible but two levels up the ancestry. Outside those levels, the procedure is inaccessible.</w:t>
      </w:r>
    </w:p>
    <w:p w14:paraId="3F52A95F" w14:textId="77777777" w:rsidR="00907EE6" w:rsidRDefault="00907EE6" w:rsidP="00907EE6">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907EE6" w14:paraId="4D5CEED3" w14:textId="77777777" w:rsidTr="00CE5A11">
        <w:trPr>
          <w:cantSplit/>
        </w:trPr>
        <w:tc>
          <w:tcPr>
            <w:tcW w:w="5288" w:type="dxa"/>
            <w:gridSpan w:val="3"/>
          </w:tcPr>
          <w:p w14:paraId="6138713C" w14:textId="77777777" w:rsidR="00907EE6" w:rsidRDefault="00907EE6" w:rsidP="00CE5A11">
            <w:pPr>
              <w:pStyle w:val="Picture"/>
            </w:pPr>
            <w:r>
              <w:t xml:space="preserve">No object level limitation: </w:t>
            </w:r>
            <w:r>
              <w:rPr>
                <w:rFonts w:ascii="Arial" w:hAnsi="Arial"/>
                <w:bCs/>
                <w:sz w:val="18"/>
              </w:rPr>
              <w:t>Public</w:t>
            </w:r>
          </w:p>
        </w:tc>
      </w:tr>
      <w:tr w:rsidR="00907EE6" w14:paraId="5CE5691B" w14:textId="77777777" w:rsidTr="00CE5A11">
        <w:tc>
          <w:tcPr>
            <w:tcW w:w="2348" w:type="dxa"/>
          </w:tcPr>
          <w:p w14:paraId="0143014D" w14:textId="77777777" w:rsidR="00907EE6" w:rsidRDefault="00907EE6" w:rsidP="00CE5A11">
            <w:r>
              <w:rPr>
                <w:noProof/>
              </w:rPr>
              <w:drawing>
                <wp:inline distT="0" distB="0" distL="0" distR="0" wp14:anchorId="3670E46B" wp14:editId="23F7BBE2">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14:paraId="0295A8FD" w14:textId="77777777" w:rsidR="00907EE6" w:rsidRDefault="00907EE6" w:rsidP="00CE5A11"/>
        </w:tc>
        <w:tc>
          <w:tcPr>
            <w:tcW w:w="540" w:type="dxa"/>
          </w:tcPr>
          <w:p w14:paraId="4280A65C" w14:textId="77777777" w:rsidR="00907EE6" w:rsidRDefault="00907EE6" w:rsidP="00CE5A11">
            <w:pPr>
              <w:jc w:val="center"/>
              <w:rPr>
                <w:sz w:val="48"/>
              </w:rPr>
            </w:pPr>
          </w:p>
          <w:p w14:paraId="5C7B0274" w14:textId="77777777" w:rsidR="00907EE6" w:rsidRDefault="00907EE6" w:rsidP="00CE5A11">
            <w:pPr>
              <w:jc w:val="center"/>
              <w:rPr>
                <w:sz w:val="18"/>
              </w:rPr>
            </w:pPr>
          </w:p>
          <w:p w14:paraId="761A045D" w14:textId="77777777" w:rsidR="00907EE6" w:rsidRDefault="00907EE6" w:rsidP="00CE5A11">
            <w:pPr>
              <w:jc w:val="center"/>
            </w:pPr>
            <w:r>
              <w:rPr>
                <w:sz w:val="48"/>
              </w:rPr>
              <w:t>≈</w:t>
            </w:r>
          </w:p>
        </w:tc>
        <w:tc>
          <w:tcPr>
            <w:tcW w:w="2400" w:type="dxa"/>
          </w:tcPr>
          <w:p w14:paraId="5F265706" w14:textId="77777777" w:rsidR="00907EE6" w:rsidRDefault="00907EE6" w:rsidP="00CE5A11">
            <w:r>
              <w:rPr>
                <w:noProof/>
              </w:rPr>
              <w:drawing>
                <wp:inline distT="0" distB="0" distL="0" distR="0" wp14:anchorId="71EF8CDD" wp14:editId="0DFBEA3B">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907EE6" w14:paraId="178C783F" w14:textId="77777777" w:rsidTr="00CE5A11">
        <w:trPr>
          <w:cantSplit/>
        </w:trPr>
        <w:tc>
          <w:tcPr>
            <w:tcW w:w="5288" w:type="dxa"/>
            <w:gridSpan w:val="3"/>
          </w:tcPr>
          <w:p w14:paraId="67FE082C" w14:textId="77777777" w:rsidR="00907EE6" w:rsidRDefault="00907EE6" w:rsidP="00CE5A11">
            <w:pPr>
              <w:pStyle w:val="Picture"/>
            </w:pPr>
            <w:r>
              <w:t xml:space="preserve">Object Level Limitation: </w:t>
            </w:r>
            <w:r>
              <w:rPr>
                <w:rFonts w:ascii="Arial" w:hAnsi="Arial"/>
                <w:bCs/>
                <w:sz w:val="18"/>
              </w:rPr>
              <w:t>Public Up 2</w:t>
            </w:r>
          </w:p>
        </w:tc>
      </w:tr>
      <w:tr w:rsidR="00907EE6" w14:paraId="2FC262E3" w14:textId="77777777" w:rsidTr="00CE5A11">
        <w:tc>
          <w:tcPr>
            <w:tcW w:w="2348" w:type="dxa"/>
          </w:tcPr>
          <w:p w14:paraId="02EDD0D2" w14:textId="77777777" w:rsidR="00907EE6" w:rsidRDefault="00907EE6" w:rsidP="00CE5A11">
            <w:r>
              <w:rPr>
                <w:noProof/>
              </w:rPr>
              <w:drawing>
                <wp:inline distT="0" distB="0" distL="0" distR="0" wp14:anchorId="14559B4C" wp14:editId="33337F7D">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14:paraId="7870CA26" w14:textId="77777777" w:rsidR="00907EE6" w:rsidRDefault="00907EE6" w:rsidP="00CE5A11">
            <w:pPr>
              <w:jc w:val="center"/>
              <w:rPr>
                <w:sz w:val="48"/>
              </w:rPr>
            </w:pPr>
          </w:p>
          <w:p w14:paraId="1A08070D" w14:textId="77777777" w:rsidR="00907EE6" w:rsidRDefault="00907EE6" w:rsidP="00CE5A11">
            <w:pPr>
              <w:jc w:val="center"/>
            </w:pPr>
          </w:p>
          <w:p w14:paraId="41032FDA" w14:textId="77777777" w:rsidR="00907EE6" w:rsidRDefault="00907EE6" w:rsidP="00CE5A11">
            <w:pPr>
              <w:jc w:val="center"/>
            </w:pPr>
            <w:r>
              <w:rPr>
                <w:sz w:val="48"/>
              </w:rPr>
              <w:t>≈</w:t>
            </w:r>
          </w:p>
        </w:tc>
        <w:tc>
          <w:tcPr>
            <w:tcW w:w="2400" w:type="dxa"/>
          </w:tcPr>
          <w:p w14:paraId="324F8587" w14:textId="77777777" w:rsidR="00907EE6" w:rsidRDefault="00907EE6" w:rsidP="00CE5A11">
            <w:r>
              <w:rPr>
                <w:noProof/>
              </w:rPr>
              <w:drawing>
                <wp:inline distT="0" distB="0" distL="0" distR="0" wp14:anchorId="59AE9FD2" wp14:editId="1B362B16">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14:paraId="4F5865F2" w14:textId="77777777" w:rsidR="00907EE6" w:rsidRDefault="00907EE6" w:rsidP="00907EE6"/>
    <w:p w14:paraId="0D4BD9B2" w14:textId="77777777" w:rsidR="00907EE6" w:rsidRDefault="00907EE6" w:rsidP="00907EE6">
      <w:r>
        <w:t>Level limitation works the same for the Protected access modifier, but gets the additional restriction that comes with that access modifier:</w:t>
      </w:r>
    </w:p>
    <w:p w14:paraId="31EB40E8" w14:textId="77777777" w:rsidR="00907EE6" w:rsidRDefault="00907EE6" w:rsidP="00907EE6"/>
    <w:p w14:paraId="2925C373" w14:textId="77777777" w:rsidR="00907EE6" w:rsidRDefault="00907EE6" w:rsidP="00907EE6">
      <w:pPr>
        <w:pStyle w:val="Code"/>
        <w:ind w:firstLine="360"/>
      </w:pPr>
      <w:r>
        <w:t xml:space="preserve">Protected </w:t>
      </w:r>
      <w:r>
        <w:rPr>
          <w:i/>
          <w:iCs/>
        </w:rPr>
        <w:t>Up 2</w:t>
      </w:r>
    </w:p>
    <w:p w14:paraId="28C7CAFA" w14:textId="77777777" w:rsidR="00907EE6" w:rsidRDefault="00907EE6" w:rsidP="00907EE6"/>
    <w:p w14:paraId="13C29524" w14:textId="77777777" w:rsidR="00907EE6" w:rsidRDefault="00907EE6" w:rsidP="00907EE6">
      <w:r>
        <w:t>A procedure with this access modifier is accessible two levels up the ancestry, but inaccessible outside the first circular descendant.</w:t>
      </w:r>
    </w:p>
    <w:p w14:paraId="2AE04206" w14:textId="77777777" w:rsidR="00907EE6" w:rsidRDefault="00907EE6" w:rsidP="00907EE6">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907EE6" w14:paraId="6E665102" w14:textId="77777777" w:rsidTr="00CE5A11">
        <w:tc>
          <w:tcPr>
            <w:tcW w:w="6920" w:type="dxa"/>
            <w:gridSpan w:val="3"/>
          </w:tcPr>
          <w:p w14:paraId="78519FA4" w14:textId="77777777" w:rsidR="00907EE6" w:rsidRDefault="00907EE6" w:rsidP="00CE5A11">
            <w:pPr>
              <w:pStyle w:val="Picture"/>
            </w:pPr>
            <w:r>
              <w:rPr>
                <w:rFonts w:ascii="Arial" w:hAnsi="Arial"/>
                <w:bCs/>
                <w:sz w:val="18"/>
              </w:rPr>
              <w:t>Protected Up 2</w:t>
            </w:r>
            <w:r>
              <w:t>, contained in three triangles</w:t>
            </w:r>
          </w:p>
        </w:tc>
      </w:tr>
      <w:tr w:rsidR="00907EE6" w14:paraId="566B13C6" w14:textId="77777777" w:rsidTr="00CE5A11">
        <w:tc>
          <w:tcPr>
            <w:tcW w:w="3140" w:type="dxa"/>
          </w:tcPr>
          <w:p w14:paraId="663EB26F" w14:textId="77777777" w:rsidR="00907EE6" w:rsidRDefault="00907EE6" w:rsidP="00CE5A11">
            <w:pPr>
              <w:jc w:val="right"/>
            </w:pPr>
            <w:r>
              <w:rPr>
                <w:noProof/>
              </w:rPr>
              <w:drawing>
                <wp:inline distT="0" distB="0" distL="0" distR="0" wp14:anchorId="081F9EC5" wp14:editId="401AB2C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14:paraId="0E503E25" w14:textId="77777777" w:rsidR="00907EE6" w:rsidRDefault="00907EE6" w:rsidP="00CE5A11">
            <w:pPr>
              <w:jc w:val="right"/>
            </w:pPr>
          </w:p>
        </w:tc>
        <w:tc>
          <w:tcPr>
            <w:tcW w:w="540" w:type="dxa"/>
          </w:tcPr>
          <w:p w14:paraId="376CC18C" w14:textId="77777777" w:rsidR="00907EE6" w:rsidRDefault="00907EE6" w:rsidP="00CE5A11">
            <w:pPr>
              <w:jc w:val="center"/>
              <w:rPr>
                <w:sz w:val="48"/>
              </w:rPr>
            </w:pPr>
          </w:p>
          <w:p w14:paraId="6249E2DC" w14:textId="77777777" w:rsidR="00907EE6" w:rsidRDefault="00907EE6" w:rsidP="00CE5A11">
            <w:pPr>
              <w:jc w:val="center"/>
              <w:rPr>
                <w:sz w:val="48"/>
              </w:rPr>
            </w:pPr>
          </w:p>
          <w:p w14:paraId="47910B4E" w14:textId="77777777" w:rsidR="00907EE6" w:rsidRDefault="00907EE6" w:rsidP="00CE5A11">
            <w:pPr>
              <w:jc w:val="center"/>
              <w:rPr>
                <w:sz w:val="48"/>
              </w:rPr>
            </w:pPr>
          </w:p>
          <w:p w14:paraId="226B9311" w14:textId="77777777" w:rsidR="00907EE6" w:rsidRDefault="00907EE6" w:rsidP="00CE5A11">
            <w:pPr>
              <w:jc w:val="center"/>
            </w:pPr>
            <w:r>
              <w:rPr>
                <w:sz w:val="48"/>
              </w:rPr>
              <w:t>≈</w:t>
            </w:r>
          </w:p>
        </w:tc>
        <w:tc>
          <w:tcPr>
            <w:tcW w:w="3240" w:type="dxa"/>
          </w:tcPr>
          <w:p w14:paraId="13F5C3F4" w14:textId="77777777" w:rsidR="00907EE6" w:rsidRDefault="00907EE6" w:rsidP="00CE5A11">
            <w:r>
              <w:rPr>
                <w:noProof/>
              </w:rPr>
              <w:drawing>
                <wp:inline distT="0" distB="0" distL="0" distR="0" wp14:anchorId="5B4838A7" wp14:editId="7CB254C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907EE6" w14:paraId="5D5F7424" w14:textId="77777777" w:rsidTr="00CE5A11">
        <w:tc>
          <w:tcPr>
            <w:tcW w:w="6920" w:type="dxa"/>
            <w:gridSpan w:val="3"/>
          </w:tcPr>
          <w:p w14:paraId="64E26C3E" w14:textId="77777777" w:rsidR="00907EE6" w:rsidRDefault="00907EE6" w:rsidP="00CE5A11">
            <w:pPr>
              <w:pStyle w:val="Picture"/>
            </w:pPr>
            <w:r>
              <w:rPr>
                <w:rFonts w:ascii="Arial" w:hAnsi="Arial"/>
                <w:bCs/>
                <w:sz w:val="18"/>
              </w:rPr>
              <w:t>Protected Up 2</w:t>
            </w:r>
            <w:r>
              <w:t>, contained in a triangle contained in two circles</w:t>
            </w:r>
          </w:p>
        </w:tc>
      </w:tr>
      <w:tr w:rsidR="00907EE6" w14:paraId="6D2A32BC" w14:textId="77777777" w:rsidTr="00CE5A11">
        <w:tc>
          <w:tcPr>
            <w:tcW w:w="3140" w:type="dxa"/>
          </w:tcPr>
          <w:p w14:paraId="31F77F51" w14:textId="77777777" w:rsidR="00907EE6" w:rsidRDefault="00907EE6" w:rsidP="00CE5A11">
            <w:pPr>
              <w:jc w:val="right"/>
            </w:pPr>
            <w:r>
              <w:rPr>
                <w:noProof/>
              </w:rPr>
              <w:drawing>
                <wp:inline distT="0" distB="0" distL="0" distR="0" wp14:anchorId="606A5424" wp14:editId="6A2AD5CC">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14:paraId="7EDC1206" w14:textId="77777777" w:rsidR="00907EE6" w:rsidRDefault="00907EE6" w:rsidP="00CE5A11">
            <w:pPr>
              <w:jc w:val="right"/>
            </w:pPr>
          </w:p>
        </w:tc>
        <w:tc>
          <w:tcPr>
            <w:tcW w:w="540" w:type="dxa"/>
          </w:tcPr>
          <w:p w14:paraId="5BAC7AF2" w14:textId="77777777" w:rsidR="00907EE6" w:rsidRDefault="00907EE6" w:rsidP="00CE5A11">
            <w:pPr>
              <w:jc w:val="center"/>
              <w:rPr>
                <w:sz w:val="48"/>
              </w:rPr>
            </w:pPr>
          </w:p>
          <w:p w14:paraId="02F57F0B" w14:textId="77777777" w:rsidR="00907EE6" w:rsidRDefault="00907EE6" w:rsidP="00CE5A11">
            <w:pPr>
              <w:jc w:val="center"/>
              <w:rPr>
                <w:sz w:val="32"/>
              </w:rPr>
            </w:pPr>
          </w:p>
          <w:p w14:paraId="1F177668" w14:textId="77777777" w:rsidR="00907EE6" w:rsidRDefault="00907EE6" w:rsidP="00CE5A11">
            <w:pPr>
              <w:jc w:val="center"/>
            </w:pPr>
            <w:r>
              <w:rPr>
                <w:sz w:val="48"/>
              </w:rPr>
              <w:t>≈</w:t>
            </w:r>
          </w:p>
        </w:tc>
        <w:tc>
          <w:tcPr>
            <w:tcW w:w="3240" w:type="dxa"/>
          </w:tcPr>
          <w:p w14:paraId="62262A1B" w14:textId="77777777" w:rsidR="00907EE6" w:rsidRDefault="00907EE6" w:rsidP="00CE5A11">
            <w:r>
              <w:rPr>
                <w:noProof/>
              </w:rPr>
              <w:drawing>
                <wp:inline distT="0" distB="0" distL="0" distR="0" wp14:anchorId="0858E275" wp14:editId="54F452D5">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907EE6" w14:paraId="3EC2742E" w14:textId="77777777" w:rsidTr="00CE5A11">
        <w:tc>
          <w:tcPr>
            <w:tcW w:w="6920" w:type="dxa"/>
            <w:gridSpan w:val="3"/>
          </w:tcPr>
          <w:p w14:paraId="06E949D7" w14:textId="77777777" w:rsidR="00907EE6" w:rsidRDefault="00907EE6" w:rsidP="00CE5A11">
            <w:pPr>
              <w:pStyle w:val="PictureCode"/>
            </w:pPr>
            <w:r>
              <w:t>Protected Up 2</w:t>
            </w:r>
            <w:r>
              <w:rPr>
                <w:rFonts w:ascii="Book Antiqua" w:hAnsi="Book Antiqua"/>
                <w:bCs w:val="0"/>
                <w:sz w:val="22"/>
              </w:rPr>
              <w:t>, contained in three circles</w:t>
            </w:r>
          </w:p>
        </w:tc>
      </w:tr>
      <w:tr w:rsidR="00907EE6" w14:paraId="15961E37" w14:textId="77777777" w:rsidTr="00CE5A11">
        <w:tc>
          <w:tcPr>
            <w:tcW w:w="3140" w:type="dxa"/>
          </w:tcPr>
          <w:p w14:paraId="44EFCF98" w14:textId="77777777" w:rsidR="00907EE6" w:rsidRDefault="00907EE6" w:rsidP="00CE5A11">
            <w:pPr>
              <w:jc w:val="right"/>
            </w:pPr>
            <w:r>
              <w:rPr>
                <w:noProof/>
              </w:rPr>
              <w:drawing>
                <wp:inline distT="0" distB="0" distL="0" distR="0" wp14:anchorId="3C1A954A" wp14:editId="62DDFE8A">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14:paraId="3EFBCD9D" w14:textId="77777777" w:rsidR="00907EE6" w:rsidRDefault="00907EE6" w:rsidP="00CE5A11">
            <w:pPr>
              <w:jc w:val="center"/>
              <w:rPr>
                <w:sz w:val="48"/>
              </w:rPr>
            </w:pPr>
          </w:p>
          <w:p w14:paraId="5D0BE03E" w14:textId="77777777" w:rsidR="00907EE6" w:rsidRDefault="00907EE6" w:rsidP="00CE5A11">
            <w:pPr>
              <w:jc w:val="center"/>
              <w:rPr>
                <w:sz w:val="32"/>
              </w:rPr>
            </w:pPr>
          </w:p>
          <w:p w14:paraId="2BA68D0E" w14:textId="77777777" w:rsidR="00907EE6" w:rsidRDefault="00907EE6" w:rsidP="00CE5A11">
            <w:pPr>
              <w:jc w:val="center"/>
            </w:pPr>
            <w:r>
              <w:rPr>
                <w:sz w:val="48"/>
              </w:rPr>
              <w:t>≈</w:t>
            </w:r>
          </w:p>
        </w:tc>
        <w:tc>
          <w:tcPr>
            <w:tcW w:w="3240" w:type="dxa"/>
          </w:tcPr>
          <w:p w14:paraId="2F7E2675" w14:textId="77777777" w:rsidR="00907EE6" w:rsidRDefault="00907EE6" w:rsidP="00CE5A11">
            <w:r>
              <w:rPr>
                <w:noProof/>
              </w:rPr>
              <w:drawing>
                <wp:inline distT="0" distB="0" distL="0" distR="0" wp14:anchorId="797AD8FC" wp14:editId="78E3281D">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14:paraId="3B11D0F0" w14:textId="77777777" w:rsidR="00907EE6" w:rsidRDefault="00907EE6" w:rsidP="00907EE6"/>
    <w:p w14:paraId="3589606E" w14:textId="77777777" w:rsidR="00907EE6" w:rsidRDefault="00907EE6" w:rsidP="00907EE6"/>
    <w:p w14:paraId="72451C3F" w14:textId="77777777" w:rsidR="00907EE6" w:rsidRDefault="00907EE6" w:rsidP="00907EE6">
      <w:r>
        <w:t>Level limitation can also be applied to deeper exclusion than Public and Protected. So a parent can impose level limitation on a child procedure.</w:t>
      </w:r>
    </w:p>
    <w:p w14:paraId="6059973E" w14:textId="77777777" w:rsidR="00907EE6" w:rsidRDefault="00907EE6" w:rsidP="00907EE6"/>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907EE6" w14:paraId="32E27B55" w14:textId="77777777" w:rsidTr="00CE5A11">
        <w:tc>
          <w:tcPr>
            <w:tcW w:w="8360" w:type="dxa"/>
            <w:gridSpan w:val="3"/>
          </w:tcPr>
          <w:p w14:paraId="680C1730" w14:textId="77777777" w:rsidR="00907EE6" w:rsidRDefault="00907EE6" w:rsidP="00CE5A11">
            <w:pPr>
              <w:pStyle w:val="Picture"/>
            </w:pPr>
            <w:r>
              <w:t>Level limitation on deeper exclusion</w:t>
            </w:r>
          </w:p>
        </w:tc>
      </w:tr>
      <w:tr w:rsidR="00907EE6" w14:paraId="5A603C44" w14:textId="77777777" w:rsidTr="00CE5A11">
        <w:tc>
          <w:tcPr>
            <w:tcW w:w="4032" w:type="dxa"/>
          </w:tcPr>
          <w:p w14:paraId="35A23F20" w14:textId="77777777" w:rsidR="00907EE6" w:rsidRDefault="00907EE6" w:rsidP="00CE5A11">
            <w:pPr>
              <w:jc w:val="right"/>
            </w:pPr>
            <w:r>
              <w:rPr>
                <w:noProof/>
              </w:rPr>
              <w:drawing>
                <wp:inline distT="0" distB="0" distL="0" distR="0" wp14:anchorId="3D86E861" wp14:editId="7B8DB736">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14:paraId="2C5C80E6" w14:textId="77777777" w:rsidR="00907EE6" w:rsidRDefault="00907EE6" w:rsidP="00CE5A11">
            <w:pPr>
              <w:jc w:val="center"/>
              <w:rPr>
                <w:sz w:val="48"/>
              </w:rPr>
            </w:pPr>
          </w:p>
          <w:p w14:paraId="73C9BBF6" w14:textId="77777777" w:rsidR="00907EE6" w:rsidRDefault="00907EE6" w:rsidP="00CE5A11">
            <w:pPr>
              <w:jc w:val="center"/>
              <w:rPr>
                <w:sz w:val="32"/>
              </w:rPr>
            </w:pPr>
          </w:p>
          <w:p w14:paraId="1D3CC65A" w14:textId="77777777" w:rsidR="00907EE6" w:rsidRDefault="00907EE6" w:rsidP="00CE5A11">
            <w:pPr>
              <w:jc w:val="center"/>
              <w:rPr>
                <w:sz w:val="32"/>
              </w:rPr>
            </w:pPr>
          </w:p>
          <w:p w14:paraId="3F923972" w14:textId="77777777" w:rsidR="00907EE6" w:rsidRDefault="00907EE6" w:rsidP="00CE5A11">
            <w:pPr>
              <w:jc w:val="center"/>
              <w:rPr>
                <w:sz w:val="28"/>
              </w:rPr>
            </w:pPr>
          </w:p>
          <w:p w14:paraId="67B2A094" w14:textId="77777777" w:rsidR="00907EE6" w:rsidRDefault="00907EE6" w:rsidP="00CE5A11">
            <w:pPr>
              <w:jc w:val="center"/>
            </w:pPr>
            <w:r>
              <w:rPr>
                <w:sz w:val="48"/>
              </w:rPr>
              <w:t>≈</w:t>
            </w:r>
          </w:p>
        </w:tc>
        <w:tc>
          <w:tcPr>
            <w:tcW w:w="3788" w:type="dxa"/>
          </w:tcPr>
          <w:p w14:paraId="4AC7499F" w14:textId="77777777" w:rsidR="00907EE6" w:rsidRDefault="00907EE6" w:rsidP="00CE5A11">
            <w:r>
              <w:rPr>
                <w:noProof/>
              </w:rPr>
              <w:drawing>
                <wp:inline distT="0" distB="0" distL="0" distR="0" wp14:anchorId="06BA9AFE" wp14:editId="3FD8A5DD">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14:paraId="38F4DEEF" w14:textId="77777777" w:rsidR="00907EE6" w:rsidRDefault="00907EE6" w:rsidP="00907EE6"/>
    <w:p w14:paraId="251955AF" w14:textId="77777777" w:rsidR="00907EE6" w:rsidRDefault="00907EE6" w:rsidP="00907EE6">
      <w:r>
        <w:t xml:space="preserve">You can also apply level limitation for on symbols </w:t>
      </w:r>
      <w:proofErr w:type="spellStart"/>
      <w:r>
        <w:t>shalower</w:t>
      </w:r>
      <w:proofErr w:type="spellEnd"/>
      <w:r>
        <w:t xml:space="preserve"> than the target procedure.</w:t>
      </w:r>
    </w:p>
    <w:p w14:paraId="57F8F2C4" w14:textId="77777777" w:rsidR="00907EE6" w:rsidRDefault="00907EE6" w:rsidP="00907EE6"/>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907EE6" w14:paraId="27C79C82" w14:textId="77777777" w:rsidTr="00CE5A11">
        <w:tc>
          <w:tcPr>
            <w:tcW w:w="8540" w:type="dxa"/>
            <w:gridSpan w:val="3"/>
          </w:tcPr>
          <w:p w14:paraId="04861B07" w14:textId="77777777" w:rsidR="00907EE6" w:rsidRDefault="00907EE6" w:rsidP="00CE5A11">
            <w:pPr>
              <w:pStyle w:val="Picture"/>
            </w:pPr>
            <w:r>
              <w:t>Level limitation on deeper exclusion</w:t>
            </w:r>
          </w:p>
        </w:tc>
      </w:tr>
      <w:tr w:rsidR="00907EE6" w14:paraId="4B92D261" w14:textId="77777777" w:rsidTr="00CE5A11">
        <w:tc>
          <w:tcPr>
            <w:tcW w:w="3860" w:type="dxa"/>
          </w:tcPr>
          <w:p w14:paraId="2FCBED36" w14:textId="77777777" w:rsidR="00907EE6" w:rsidRDefault="00907EE6" w:rsidP="00CE5A11">
            <w:pPr>
              <w:jc w:val="right"/>
            </w:pPr>
            <w:r>
              <w:rPr>
                <w:noProof/>
              </w:rPr>
              <w:drawing>
                <wp:inline distT="0" distB="0" distL="0" distR="0" wp14:anchorId="755FF3D6" wp14:editId="7D1A4FCD">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14:paraId="3D57FD1F" w14:textId="77777777" w:rsidR="00907EE6" w:rsidRDefault="00907EE6" w:rsidP="00CE5A11">
            <w:pPr>
              <w:jc w:val="center"/>
              <w:rPr>
                <w:sz w:val="48"/>
              </w:rPr>
            </w:pPr>
          </w:p>
          <w:p w14:paraId="73965331" w14:textId="77777777" w:rsidR="00907EE6" w:rsidRDefault="00907EE6" w:rsidP="00CE5A11">
            <w:pPr>
              <w:jc w:val="center"/>
              <w:rPr>
                <w:sz w:val="32"/>
              </w:rPr>
            </w:pPr>
          </w:p>
          <w:p w14:paraId="69028332" w14:textId="77777777" w:rsidR="00907EE6" w:rsidRDefault="00907EE6" w:rsidP="00CE5A11">
            <w:pPr>
              <w:jc w:val="center"/>
              <w:rPr>
                <w:sz w:val="32"/>
              </w:rPr>
            </w:pPr>
          </w:p>
          <w:p w14:paraId="207013DF" w14:textId="77777777" w:rsidR="00907EE6" w:rsidRDefault="00907EE6" w:rsidP="00CE5A11">
            <w:pPr>
              <w:jc w:val="center"/>
              <w:rPr>
                <w:sz w:val="22"/>
              </w:rPr>
            </w:pPr>
          </w:p>
          <w:p w14:paraId="06B70B69" w14:textId="77777777" w:rsidR="00907EE6" w:rsidRDefault="00907EE6" w:rsidP="00CE5A11">
            <w:pPr>
              <w:jc w:val="center"/>
            </w:pPr>
            <w:r>
              <w:rPr>
                <w:sz w:val="48"/>
              </w:rPr>
              <w:t>≈</w:t>
            </w:r>
          </w:p>
        </w:tc>
        <w:tc>
          <w:tcPr>
            <w:tcW w:w="4140" w:type="dxa"/>
          </w:tcPr>
          <w:p w14:paraId="373D73DE" w14:textId="77777777" w:rsidR="00907EE6" w:rsidRDefault="00907EE6" w:rsidP="00CE5A11">
            <w:r>
              <w:rPr>
                <w:noProof/>
              </w:rPr>
              <w:drawing>
                <wp:inline distT="0" distB="0" distL="0" distR="0" wp14:anchorId="75745D70" wp14:editId="0C31762B">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14:paraId="5A9DBF0F" w14:textId="77777777" w:rsidR="00907EE6" w:rsidRDefault="00907EE6" w:rsidP="00907EE6"/>
    <w:p w14:paraId="70B78AE6" w14:textId="77777777" w:rsidR="00907EE6" w:rsidRDefault="00907EE6" w:rsidP="00907EE6">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14:paraId="4C587B56" w14:textId="77777777" w:rsidR="00907EE6" w:rsidRDefault="00907EE6" w:rsidP="00907EE6"/>
    <w:p w14:paraId="79806DBA" w14:textId="77777777" w:rsidR="00907EE6" w:rsidRDefault="00907EE6" w:rsidP="00907EE6">
      <w:pPr>
        <w:pStyle w:val="Brainstorm"/>
        <w:ind w:left="852"/>
        <w:jc w:val="left"/>
      </w:pPr>
      <w:r>
        <w:t>&lt; Figure out a better diagram notation. &gt;</w:t>
      </w:r>
    </w:p>
    <w:p w14:paraId="4EFE7074" w14:textId="77777777" w:rsidR="00907EE6" w:rsidRDefault="00907EE6" w:rsidP="00907EE6"/>
    <w:p w14:paraId="122D03F6" w14:textId="77777777" w:rsidR="00907EE6" w:rsidRDefault="00907EE6" w:rsidP="00907EE6">
      <w:r>
        <w:t xml:space="preserve">Maybe call it </w:t>
      </w:r>
      <w:r w:rsidRPr="0031520D">
        <w:rPr>
          <w:rFonts w:cs="Tahoma"/>
          <w:szCs w:val="20"/>
        </w:rPr>
        <w:t>Level Restriction</w:t>
      </w:r>
      <w:r>
        <w:rPr>
          <w:rFonts w:cs="Tahoma"/>
          <w:szCs w:val="20"/>
        </w:rPr>
        <w:t>.</w:t>
      </w:r>
    </w:p>
    <w:p w14:paraId="63FDA478" w14:textId="77777777" w:rsidR="00907EE6" w:rsidRDefault="00907EE6" w:rsidP="00907EE6">
      <w:pPr>
        <w:pStyle w:val="Heading4"/>
      </w:pPr>
      <w:r>
        <w:t>Globality Level Limitation</w:t>
      </w:r>
    </w:p>
    <w:p w14:paraId="149B80F7" w14:textId="77777777" w:rsidR="00907EE6" w:rsidRDefault="00907EE6" w:rsidP="00907EE6">
      <w:pPr>
        <w:pStyle w:val="Brainstorm"/>
        <w:ind w:left="567"/>
      </w:pPr>
      <w:r>
        <w:t>&lt;Pictures&gt;</w:t>
      </w:r>
    </w:p>
    <w:p w14:paraId="2CAF3064" w14:textId="77777777" w:rsidR="00907EE6" w:rsidRDefault="00907EE6" w:rsidP="00907EE6">
      <w:r>
        <w:t>Apart from object level limitation there is also globality level limitation.</w:t>
      </w:r>
    </w:p>
    <w:p w14:paraId="57E029B1" w14:textId="77777777" w:rsidR="00907EE6" w:rsidRDefault="00907EE6" w:rsidP="00907EE6"/>
    <w:p w14:paraId="4DAC6270" w14:textId="77777777" w:rsidR="00907EE6" w:rsidRDefault="00907EE6" w:rsidP="00907EE6">
      <w:pPr>
        <w:pStyle w:val="Code"/>
        <w:ind w:firstLine="360"/>
        <w:rPr>
          <w:i/>
          <w:iCs/>
        </w:rPr>
      </w:pPr>
      <w:r>
        <w:t xml:space="preserve">Public </w:t>
      </w:r>
      <w:r>
        <w:rPr>
          <w:i/>
          <w:iCs/>
        </w:rPr>
        <w:t>Globality Up 1</w:t>
      </w:r>
    </w:p>
    <w:p w14:paraId="6949352E" w14:textId="77777777" w:rsidR="00907EE6" w:rsidRDefault="00907EE6" w:rsidP="00907EE6"/>
    <w:p w14:paraId="388A2564" w14:textId="77777777" w:rsidR="00907EE6" w:rsidRDefault="00907EE6" w:rsidP="00907EE6">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14:paraId="26C93496" w14:textId="77777777" w:rsidR="00907EE6" w:rsidRDefault="00907EE6" w:rsidP="00907EE6">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907EE6" w14:paraId="7F4697BF" w14:textId="77777777" w:rsidTr="00CE5A11">
        <w:trPr>
          <w:cantSplit/>
        </w:trPr>
        <w:tc>
          <w:tcPr>
            <w:tcW w:w="6128" w:type="dxa"/>
            <w:gridSpan w:val="3"/>
          </w:tcPr>
          <w:p w14:paraId="0FF32E5E" w14:textId="77777777" w:rsidR="00907EE6" w:rsidRDefault="00907EE6" w:rsidP="00CE5A11">
            <w:pPr>
              <w:pStyle w:val="Picture"/>
            </w:pPr>
            <w:r>
              <w:t>Public</w:t>
            </w:r>
          </w:p>
        </w:tc>
      </w:tr>
      <w:tr w:rsidR="00907EE6" w14:paraId="65D2923B" w14:textId="77777777" w:rsidTr="00CE5A11">
        <w:tc>
          <w:tcPr>
            <w:tcW w:w="2708" w:type="dxa"/>
          </w:tcPr>
          <w:p w14:paraId="52388527" w14:textId="77777777" w:rsidR="00907EE6" w:rsidRDefault="00907EE6" w:rsidP="00CE5A11">
            <w:pPr>
              <w:jc w:val="right"/>
            </w:pPr>
            <w:r>
              <w:rPr>
                <w:noProof/>
              </w:rPr>
              <w:drawing>
                <wp:inline distT="0" distB="0" distL="0" distR="0" wp14:anchorId="608F196C" wp14:editId="6CCF4136">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14:paraId="5D59124A" w14:textId="77777777" w:rsidR="00907EE6" w:rsidRDefault="00907EE6" w:rsidP="00CE5A11"/>
        </w:tc>
        <w:tc>
          <w:tcPr>
            <w:tcW w:w="720" w:type="dxa"/>
          </w:tcPr>
          <w:p w14:paraId="3D1F9B04" w14:textId="77777777" w:rsidR="00907EE6" w:rsidRDefault="00907EE6" w:rsidP="00CE5A11">
            <w:pPr>
              <w:rPr>
                <w:sz w:val="48"/>
              </w:rPr>
            </w:pPr>
          </w:p>
          <w:p w14:paraId="008AC525" w14:textId="77777777" w:rsidR="00907EE6" w:rsidRDefault="00907EE6" w:rsidP="00CE5A11">
            <w:pPr>
              <w:rPr>
                <w:sz w:val="40"/>
              </w:rPr>
            </w:pPr>
          </w:p>
          <w:p w14:paraId="66B9C400" w14:textId="77777777" w:rsidR="00907EE6" w:rsidRDefault="00907EE6" w:rsidP="00CE5A11">
            <w:pPr>
              <w:jc w:val="center"/>
            </w:pPr>
            <w:r>
              <w:rPr>
                <w:sz w:val="48"/>
              </w:rPr>
              <w:t>≈</w:t>
            </w:r>
          </w:p>
        </w:tc>
        <w:tc>
          <w:tcPr>
            <w:tcW w:w="2700" w:type="dxa"/>
          </w:tcPr>
          <w:p w14:paraId="7FA1309A" w14:textId="77777777" w:rsidR="00907EE6" w:rsidRDefault="00907EE6" w:rsidP="00CE5A11">
            <w:r>
              <w:rPr>
                <w:noProof/>
              </w:rPr>
              <w:drawing>
                <wp:inline distT="0" distB="0" distL="0" distR="0" wp14:anchorId="6605B3EB" wp14:editId="03D42F97">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907EE6" w14:paraId="05C10007" w14:textId="77777777" w:rsidTr="00CE5A11">
        <w:trPr>
          <w:cantSplit/>
        </w:trPr>
        <w:tc>
          <w:tcPr>
            <w:tcW w:w="6128" w:type="dxa"/>
            <w:gridSpan w:val="3"/>
          </w:tcPr>
          <w:p w14:paraId="5A40DF3D" w14:textId="77777777" w:rsidR="00907EE6" w:rsidRDefault="00907EE6" w:rsidP="00CE5A11">
            <w:pPr>
              <w:pStyle w:val="Picture"/>
            </w:pPr>
            <w:r>
              <w:t>Public Globality Up 1</w:t>
            </w:r>
          </w:p>
        </w:tc>
      </w:tr>
      <w:tr w:rsidR="00907EE6" w14:paraId="1594CAB0" w14:textId="77777777" w:rsidTr="00CE5A11">
        <w:tc>
          <w:tcPr>
            <w:tcW w:w="2708" w:type="dxa"/>
          </w:tcPr>
          <w:p w14:paraId="582AD05A" w14:textId="77777777" w:rsidR="00907EE6" w:rsidRDefault="00907EE6" w:rsidP="00CE5A11">
            <w:pPr>
              <w:jc w:val="right"/>
            </w:pPr>
            <w:r>
              <w:rPr>
                <w:noProof/>
              </w:rPr>
              <w:drawing>
                <wp:inline distT="0" distB="0" distL="0" distR="0" wp14:anchorId="7E3278F0" wp14:editId="71567B28">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14:paraId="7D87F54B" w14:textId="77777777" w:rsidR="00907EE6" w:rsidRDefault="00907EE6" w:rsidP="00CE5A11"/>
        </w:tc>
        <w:tc>
          <w:tcPr>
            <w:tcW w:w="720" w:type="dxa"/>
          </w:tcPr>
          <w:p w14:paraId="63DA2DF6" w14:textId="77777777" w:rsidR="00907EE6" w:rsidRDefault="00907EE6" w:rsidP="00CE5A11">
            <w:pPr>
              <w:rPr>
                <w:sz w:val="48"/>
              </w:rPr>
            </w:pPr>
          </w:p>
          <w:p w14:paraId="44222FFA" w14:textId="77777777" w:rsidR="00907EE6" w:rsidRDefault="00907EE6" w:rsidP="00CE5A11">
            <w:pPr>
              <w:rPr>
                <w:sz w:val="40"/>
              </w:rPr>
            </w:pPr>
          </w:p>
          <w:p w14:paraId="6E975C17" w14:textId="77777777" w:rsidR="00907EE6" w:rsidRDefault="00907EE6" w:rsidP="00CE5A11">
            <w:pPr>
              <w:jc w:val="center"/>
            </w:pPr>
            <w:r>
              <w:rPr>
                <w:sz w:val="48"/>
              </w:rPr>
              <w:t>≈</w:t>
            </w:r>
          </w:p>
        </w:tc>
        <w:tc>
          <w:tcPr>
            <w:tcW w:w="2700" w:type="dxa"/>
          </w:tcPr>
          <w:p w14:paraId="3FB4C921" w14:textId="77777777" w:rsidR="00907EE6" w:rsidRDefault="00907EE6" w:rsidP="00CE5A11">
            <w:r>
              <w:t xml:space="preserve">  </w:t>
            </w:r>
            <w:r>
              <w:rPr>
                <w:noProof/>
              </w:rPr>
              <w:drawing>
                <wp:inline distT="0" distB="0" distL="0" distR="0" wp14:anchorId="1DBFA3FF" wp14:editId="5C0327DB">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907EE6" w14:paraId="45771C4B" w14:textId="77777777" w:rsidTr="00CE5A11">
        <w:trPr>
          <w:cantSplit/>
        </w:trPr>
        <w:tc>
          <w:tcPr>
            <w:tcW w:w="6128" w:type="dxa"/>
            <w:gridSpan w:val="3"/>
          </w:tcPr>
          <w:p w14:paraId="0830714C" w14:textId="77777777" w:rsidR="00907EE6" w:rsidRDefault="00907EE6" w:rsidP="00CE5A11">
            <w:pPr>
              <w:pStyle w:val="Picture"/>
            </w:pPr>
            <w:r>
              <w:t>Public Globality Up 2</w:t>
            </w:r>
          </w:p>
        </w:tc>
      </w:tr>
      <w:tr w:rsidR="00907EE6" w14:paraId="08C75E56" w14:textId="77777777" w:rsidTr="00CE5A11">
        <w:tc>
          <w:tcPr>
            <w:tcW w:w="2708" w:type="dxa"/>
          </w:tcPr>
          <w:p w14:paraId="05853F1E" w14:textId="77777777" w:rsidR="00907EE6" w:rsidRDefault="00907EE6" w:rsidP="00CE5A11">
            <w:pPr>
              <w:jc w:val="right"/>
            </w:pPr>
            <w:r>
              <w:rPr>
                <w:noProof/>
              </w:rPr>
              <w:drawing>
                <wp:inline distT="0" distB="0" distL="0" distR="0" wp14:anchorId="001CDB92" wp14:editId="6E202FCD">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14:paraId="63D31B84" w14:textId="77777777" w:rsidR="00907EE6" w:rsidRDefault="00907EE6" w:rsidP="00CE5A11">
            <w:pPr>
              <w:rPr>
                <w:sz w:val="48"/>
              </w:rPr>
            </w:pPr>
          </w:p>
          <w:p w14:paraId="34D38AF1" w14:textId="77777777" w:rsidR="00907EE6" w:rsidRDefault="00907EE6" w:rsidP="00CE5A11">
            <w:pPr>
              <w:rPr>
                <w:sz w:val="40"/>
              </w:rPr>
            </w:pPr>
          </w:p>
          <w:p w14:paraId="32862049" w14:textId="77777777" w:rsidR="00907EE6" w:rsidRDefault="00907EE6" w:rsidP="00CE5A11">
            <w:pPr>
              <w:jc w:val="center"/>
            </w:pPr>
            <w:r>
              <w:rPr>
                <w:sz w:val="48"/>
              </w:rPr>
              <w:t>≈</w:t>
            </w:r>
          </w:p>
        </w:tc>
        <w:tc>
          <w:tcPr>
            <w:tcW w:w="2700" w:type="dxa"/>
          </w:tcPr>
          <w:p w14:paraId="5E91571A" w14:textId="77777777" w:rsidR="00907EE6" w:rsidRDefault="00907EE6" w:rsidP="00CE5A11">
            <w:r>
              <w:rPr>
                <w:noProof/>
              </w:rPr>
              <w:drawing>
                <wp:inline distT="0" distB="0" distL="0" distR="0" wp14:anchorId="63D6BB6A" wp14:editId="3FE0C7F8">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14:paraId="637AAD35" w14:textId="77777777" w:rsidR="00907EE6" w:rsidRDefault="00907EE6" w:rsidP="00907EE6"/>
    <w:p w14:paraId="7453AB48" w14:textId="77777777" w:rsidR="00907EE6" w:rsidRDefault="00907EE6" w:rsidP="00907EE6">
      <w:r>
        <w:t>Protected Globality Up N works the same as Public, but adds the extra restriction that comes with protected.</w:t>
      </w:r>
    </w:p>
    <w:p w14:paraId="48DEF1FA" w14:textId="77777777" w:rsidR="00907EE6" w:rsidRDefault="00907EE6" w:rsidP="00907EE6"/>
    <w:p w14:paraId="2BF5D15F" w14:textId="77777777" w:rsidR="00907EE6" w:rsidRDefault="00907EE6" w:rsidP="00907EE6">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14:paraId="106E0347" w14:textId="77777777" w:rsidR="00907EE6" w:rsidRDefault="00907EE6" w:rsidP="00907EE6">
      <w:pPr>
        <w:ind w:left="798" w:hanging="231"/>
      </w:pPr>
      <w:r>
        <w:t>&gt; 2009-06-29: But level limitation and then globality level limitation is a lot of systematics to introduce just to facilitate a VB Friend access modifier.</w:t>
      </w:r>
    </w:p>
    <w:p w14:paraId="6780857F" w14:textId="77777777" w:rsidR="00907EE6" w:rsidRDefault="00907EE6" w:rsidP="00907EE6">
      <w:pPr>
        <w:ind w:left="1136"/>
      </w:pPr>
    </w:p>
    <w:p w14:paraId="488E36A6" w14:textId="77777777" w:rsidR="00907EE6" w:rsidRDefault="00907EE6" w:rsidP="00907EE6">
      <w:pPr>
        <w:pStyle w:val="Brainstorm"/>
        <w:ind w:left="569"/>
        <w:jc w:val="left"/>
      </w:pPr>
      <w:r>
        <w:t>&lt;Pictures with that? &gt;</w:t>
      </w:r>
    </w:p>
    <w:p w14:paraId="12D34C29" w14:textId="77777777" w:rsidR="00907EE6" w:rsidRDefault="00907EE6" w:rsidP="00907EE6">
      <w:pPr>
        <w:ind w:left="1136"/>
      </w:pPr>
    </w:p>
    <w:p w14:paraId="4F1D69CE" w14:textId="77777777" w:rsidR="00907EE6" w:rsidRDefault="00907EE6" w:rsidP="00907EE6">
      <w:pPr>
        <w:pStyle w:val="Brainstorm"/>
        <w:ind w:left="569"/>
        <w:jc w:val="left"/>
      </w:pPr>
      <w: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14:paraId="6060913A" w14:textId="77777777" w:rsidR="004B6ABE" w:rsidRDefault="004B6ABE" w:rsidP="004B6ABE">
      <w:pPr>
        <w:pStyle w:val="Heading4"/>
      </w:pPr>
      <w:r>
        <w:t>Downsides to Black Boxes</w:t>
      </w:r>
    </w:p>
    <w:p w14:paraId="73B0453E" w14:textId="77777777" w:rsidR="004B6ABE" w:rsidRDefault="004B6ABE" w:rsidP="004B6ABE">
      <w:r>
        <w:t>Data protection does not really have a downside.</w:t>
      </w:r>
    </w:p>
    <w:p w14:paraId="4C5D604C" w14:textId="77777777" w:rsidR="004B6ABE" w:rsidRDefault="004B6ABE" w:rsidP="004B6ABE">
      <w:r>
        <w:t>Complexity hiding, though has a downside.</w:t>
      </w:r>
    </w:p>
    <w:p w14:paraId="3544185B" w14:textId="77777777" w:rsidR="004B6ABE" w:rsidRDefault="004B6ABE" w:rsidP="004B6ABE">
      <w:r>
        <w:t>Complexity hiding does has benefits: it allows you to focus on overview, focus on the main point of a system, object or command.</w:t>
      </w:r>
    </w:p>
    <w:p w14:paraId="10671F3F" w14:textId="77777777" w:rsidR="004B6ABE" w:rsidRDefault="004B6ABE" w:rsidP="004B6ABE">
      <w:pPr>
        <w:pStyle w:val="Spacing"/>
      </w:pPr>
    </w:p>
    <w:p w14:paraId="5F26729A" w14:textId="77777777" w:rsidR="004B6ABE" w:rsidRDefault="004B6ABE" w:rsidP="004B6ABE">
      <w:r>
        <w:t>In professional software development it is a blessing, that you get access to a wealth of objects that provide functionality for you while you do not need to know or see exactly how it works inside. It allows you to focus on the main point of the program,</w:t>
      </w:r>
    </w:p>
    <w:p w14:paraId="6107590E" w14:textId="77777777" w:rsidR="004B6ABE" w:rsidRDefault="004B6ABE" w:rsidP="004B6ABE">
      <w:r>
        <w:t>If you know how to properly use them, there is no downside.</w:t>
      </w:r>
    </w:p>
    <w:p w14:paraId="71F0697D" w14:textId="77777777" w:rsidR="004B6ABE" w:rsidRDefault="004B6ABE" w:rsidP="004B6ABE"/>
    <w:p w14:paraId="2F0BE6D5" w14:textId="77777777" w:rsidR="004B6ABE" w:rsidRDefault="004B6ABE" w:rsidP="004B6ABE">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14:paraId="76A34E1F" w14:textId="77777777" w:rsidR="004B6ABE" w:rsidRDefault="004B6ABE" w:rsidP="004B6ABE">
      <w:pPr>
        <w:pStyle w:val="Spacing"/>
      </w:pPr>
    </w:p>
    <w:p w14:paraId="71F8E5CF" w14:textId="77777777" w:rsidR="004B6ABE" w:rsidRDefault="004B6ABE" w:rsidP="004B6ABE">
      <w:r>
        <w:t>There are methods to overcome this though. It is not concrete yet, but the inner complexity of an object or command could be expressed by size. That will give you a relative estimation of the complexity of what you are calling upon.</w:t>
      </w:r>
    </w:p>
    <w:p w14:paraId="74951B6D" w14:textId="77777777" w:rsidR="004B6ABE" w:rsidRDefault="004B6ABE" w:rsidP="004B6ABE">
      <w:pPr>
        <w:pStyle w:val="Spacing"/>
      </w:pPr>
    </w:p>
    <w:p w14:paraId="174A0DBA" w14:textId="77777777" w:rsidR="004B6ABE" w:rsidRDefault="004B6ABE" w:rsidP="004B6ABE">
      <w:r>
        <w:t>&lt; … &gt;</w:t>
      </w:r>
    </w:p>
    <w:p w14:paraId="457909C9" w14:textId="77777777" w:rsidR="00CC3A93" w:rsidRDefault="00CC3A93" w:rsidP="00CC3A93">
      <w:pPr>
        <w:pStyle w:val="Heading4"/>
      </w:pPr>
      <w:r>
        <w:t>Get For Access and Get For Copy</w:t>
      </w:r>
    </w:p>
    <w:p w14:paraId="4F793A56" w14:textId="77777777" w:rsidR="00CC3A93" w:rsidRPr="002E4F2A" w:rsidRDefault="00CC3A93" w:rsidP="00CC3A9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14:paraId="78BFD8AB" w14:textId="77777777" w:rsidR="00CC3A93" w:rsidRDefault="00CC3A93" w:rsidP="00CC3A93">
      <w:pPr>
        <w:ind w:left="1078" w:hanging="226"/>
      </w:pPr>
      <w:r w:rsidRPr="002E4F2A">
        <w:t>&gt; 2009-06-29: The difference between design-time and run-time is gone in the new language. There is only differentiation between program authors and users through user access control.</w:t>
      </w:r>
    </w:p>
    <w:p w14:paraId="72E819BF" w14:textId="77777777" w:rsidR="00CC3A93" w:rsidRDefault="00CC3A93" w:rsidP="00CC3A93"/>
    <w:p w14:paraId="4D309784" w14:textId="77777777" w:rsidR="00CC3A93" w:rsidRDefault="00CC3A93" w:rsidP="00CC3A93">
      <w:r>
        <w:t>There might be a separation between access controlling Get for Access</w:t>
      </w:r>
    </w:p>
    <w:p w14:paraId="5C3188C7" w14:textId="77777777" w:rsidR="00CC3A93" w:rsidRDefault="00CC3A93" w:rsidP="00CC3A93">
      <w:r>
        <w:t>and Get for Copy... but not much more.</w:t>
      </w:r>
    </w:p>
    <w:p w14:paraId="735934B9" w14:textId="77777777" w:rsidR="00CC3A93" w:rsidRDefault="00CC3A93" w:rsidP="00CC3A93">
      <w:r>
        <w:t>I used to have a difference between Run Time Copy and Design Time Copy,</w:t>
      </w:r>
    </w:p>
    <w:p w14:paraId="404895C4" w14:textId="77777777" w:rsidR="00CC3A93" w:rsidRDefault="00CC3A93" w:rsidP="00CC3A93">
      <w:r>
        <w:t>but that is bull now, because there is not difference between run time and design time.</w:t>
      </w:r>
    </w:p>
    <w:p w14:paraId="3BA66415" w14:textId="77777777" w:rsidR="00CC3A93" w:rsidRDefault="00CC3A93" w:rsidP="00CC3A93">
      <w:r>
        <w:t>There may be a difference between different types of users: authors and users...</w:t>
      </w:r>
    </w:p>
    <w:p w14:paraId="795A5856" w14:textId="77777777" w:rsidR="00CC3A93" w:rsidRDefault="00CC3A93" w:rsidP="00CC3A93">
      <w:r>
        <w:t>but that is user access control, which is not covered here.</w:t>
      </w:r>
    </w:p>
    <w:p w14:paraId="19FBCBDD" w14:textId="77777777" w:rsidR="00CC3A93" w:rsidRDefault="00CC3A93" w:rsidP="00CC3A93"/>
    <w:p w14:paraId="6BC8910F" w14:textId="77777777" w:rsidR="00CC3A93" w:rsidRDefault="00CC3A93" w:rsidP="00CC3A93">
      <w:r>
        <w:t>&lt;There are also situations in which you want to disallow copying an object reference to an argument, but only allow consult of the argument. (that’s access control of system procedures, actually)&gt;</w:t>
      </w:r>
    </w:p>
    <w:p w14:paraId="0871DA00" w14:textId="77777777" w:rsidR="00CC3A93" w:rsidRDefault="00CC3A93" w:rsidP="00CC3A93">
      <w:pPr>
        <w:pStyle w:val="Heading4"/>
      </w:pPr>
      <w:r>
        <w:t>Inaccessible System Aspects</w:t>
      </w:r>
    </w:p>
    <w:p w14:paraId="12C4D4B2" w14:textId="77777777" w:rsidR="00CC3A93" w:rsidRDefault="00CC3A93" w:rsidP="00CC3A93">
      <w:r>
        <w:t>What if you want an aspect to be inaccessible to even friend objects.</w:t>
      </w:r>
    </w:p>
    <w:p w14:paraId="242067F7" w14:textId="77777777" w:rsidR="00CC3A93" w:rsidRDefault="00CC3A93" w:rsidP="00CC3A93">
      <w:r>
        <w:t>Then the only one able to access those aspects is a programmer…</w:t>
      </w:r>
    </w:p>
    <w:p w14:paraId="0A412428" w14:textId="77777777" w:rsidR="00CC3A93" w:rsidRDefault="00CC3A93" w:rsidP="00CC3A93">
      <w:r>
        <w:t>That is strange… giving nothing in the system access to something, but still the programmer can access it. That is weird.</w:t>
      </w:r>
    </w:p>
    <w:p w14:paraId="0014D991" w14:textId="77777777" w:rsidR="00CC3A93" w:rsidRDefault="00CC3A93" w:rsidP="00CC3A93"/>
    <w:p w14:paraId="3AEB4AA5" w14:textId="77777777" w:rsidR="00CC3A93" w:rsidRDefault="00CC3A93" w:rsidP="00CC3A93">
      <w:r>
        <w:t>Let’s stick to the plan where either everything is accessible or a selection of thing is accessible.</w:t>
      </w:r>
    </w:p>
    <w:p w14:paraId="6F9B73E8" w14:textId="77777777" w:rsidR="00CC3A93" w:rsidRDefault="00CC3A93" w:rsidP="00CC3A93">
      <w:pPr>
        <w:pStyle w:val="Heading4"/>
      </w:pPr>
      <w:bookmarkStart w:id="0" w:name="_Hlk40993491"/>
      <w:r>
        <w:t>Compared to Traditional Black Boxing</w:t>
      </w:r>
    </w:p>
    <w:bookmarkEnd w:id="0"/>
    <w:p w14:paraId="39BA7C33" w14:textId="77777777" w:rsidR="00CC3A93" w:rsidRPr="006204A1" w:rsidRDefault="00CC3A93" w:rsidP="00CC3A9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14:paraId="423B802D" w14:textId="77777777" w:rsidR="00CC3A93" w:rsidRDefault="00CC3A93" w:rsidP="00CC3A93"/>
    <w:p w14:paraId="7FB11B68" w14:textId="77777777" w:rsidR="00CC3A93" w:rsidRDefault="00CC3A93" w:rsidP="00CC3A93">
      <w:r>
        <w:t>&gt; Deals with the two differences to traditional:</w:t>
      </w:r>
    </w:p>
    <w:p w14:paraId="4875558C" w14:textId="77777777" w:rsidR="00CC3A93" w:rsidRDefault="00CC3A93" w:rsidP="00CC3A93">
      <w:pPr>
        <w:ind w:left="852"/>
      </w:pPr>
      <w:r>
        <w:t>- Not only commands are friend with their object</w:t>
      </w:r>
    </w:p>
    <w:p w14:paraId="585FC3EF" w14:textId="77777777" w:rsidR="00CC3A93" w:rsidRDefault="00CC3A93" w:rsidP="00CC3A93">
      <w:pPr>
        <w:ind w:left="852"/>
      </w:pPr>
      <w:r>
        <w:t>- Containment and referential interchange.</w:t>
      </w:r>
    </w:p>
    <w:p w14:paraId="6CEC8D20" w14:textId="77777777" w:rsidR="00CC3A93" w:rsidRPr="001A1A88" w:rsidRDefault="00CC3A93" w:rsidP="00CC3A93"/>
    <w:p w14:paraId="49EEF4A4" w14:textId="77777777" w:rsidR="00CC3A93" w:rsidRDefault="00CC3A93" w:rsidP="00CC3A93">
      <w:r>
        <w:t xml:space="preserve">&gt; This overlaps with issues put under </w:t>
      </w:r>
      <w:r w:rsidRPr="00E67B48">
        <w:rPr>
          <w:i/>
        </w:rPr>
        <w:t>Notation</w:t>
      </w:r>
      <w:r>
        <w:t>.</w:t>
      </w:r>
    </w:p>
    <w:p w14:paraId="6F2C26B2" w14:textId="77777777" w:rsidR="00CC3A93" w:rsidRPr="00E67B48" w:rsidRDefault="00CC3A93" w:rsidP="00CC3A93"/>
    <w:p w14:paraId="0BD562D1" w14:textId="77777777" w:rsidR="00CC3A93" w:rsidRDefault="00CC3A93" w:rsidP="00CC3A93">
      <w:r>
        <w:t>Public &amp; Private,</w:t>
      </w:r>
    </w:p>
    <w:p w14:paraId="143CB1FD" w14:textId="77777777" w:rsidR="00CC3A93" w:rsidRDefault="00CC3A93" w:rsidP="00CC3A93">
      <w:r>
        <w:t>2008-09-15</w:t>
      </w:r>
    </w:p>
    <w:p w14:paraId="7784E404" w14:textId="77777777" w:rsidR="00CC3A93" w:rsidRDefault="00CC3A93" w:rsidP="00CC3A93"/>
    <w:p w14:paraId="402C54A1" w14:textId="77777777" w:rsidR="00CC3A93" w:rsidRDefault="00CC3A93" w:rsidP="00CC3A93">
      <w:r>
        <w:t>Private means on the inside, Public means from the outside.</w:t>
      </w:r>
    </w:p>
    <w:p w14:paraId="7FB782F8" w14:textId="77777777" w:rsidR="00CC3A93" w:rsidRDefault="00CC3A93" w:rsidP="00CC3A93"/>
    <w:p w14:paraId="3E28662B" w14:textId="77777777" w:rsidR="00CC3A93" w:rsidRDefault="00CC3A93" w:rsidP="00CC3A93">
      <w:r>
        <w:t>JJ</w:t>
      </w:r>
    </w:p>
    <w:p w14:paraId="2EE4660D" w14:textId="77777777" w:rsidR="00CC3A93" w:rsidRDefault="00CC3A93" w:rsidP="00CC3A93"/>
    <w:p w14:paraId="0B2BBFD1" w14:textId="77777777" w:rsidR="00CC3A93" w:rsidRDefault="00CC3A93" w:rsidP="00CC3A93"/>
    <w:p w14:paraId="286A6628" w14:textId="77777777" w:rsidR="00CC3A93" w:rsidRDefault="00CC3A93" w:rsidP="00CC3A93">
      <w:r>
        <w:t>Public &amp; Private,</w:t>
      </w:r>
    </w:p>
    <w:p w14:paraId="14DDCCF9" w14:textId="77777777" w:rsidR="00CC3A93" w:rsidRDefault="00CC3A93" w:rsidP="00CC3A93">
      <w:r>
        <w:t>2008-09-17</w:t>
      </w:r>
    </w:p>
    <w:p w14:paraId="1C0D2807" w14:textId="77777777" w:rsidR="00CC3A93" w:rsidRDefault="00CC3A93" w:rsidP="00CC3A93"/>
    <w:p w14:paraId="3FC55787" w14:textId="77777777" w:rsidR="00CC3A93" w:rsidRDefault="00CC3A93" w:rsidP="00CC3A9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14:paraId="10BBBEB9" w14:textId="77777777" w:rsidR="00CC3A93" w:rsidRDefault="00CC3A93" w:rsidP="00CC3A93"/>
    <w:p w14:paraId="0D90692C" w14:textId="77777777" w:rsidR="00CC3A93" w:rsidRDefault="00CC3A93" w:rsidP="00CC3A93">
      <w:r>
        <w:t>JJ</w:t>
      </w:r>
    </w:p>
    <w:p w14:paraId="781F65AB" w14:textId="77777777" w:rsidR="00CC3A93" w:rsidRDefault="00CC3A93" w:rsidP="00CC3A93">
      <w:pPr>
        <w:ind w:left="784" w:hanging="217"/>
      </w:pPr>
    </w:p>
    <w:p w14:paraId="678C4329" w14:textId="77777777" w:rsidR="00CC3A93" w:rsidRDefault="00CC3A93" w:rsidP="00CC3A93">
      <w:r>
        <w:t>&gt; 2009-06-26: The last two ideas do not apply anymore. Public and Private will not have anything to do with outside or inside… Privates are accessible to friends… whether those friends are on the outside or on the inside.</w:t>
      </w:r>
    </w:p>
    <w:p w14:paraId="0AF9676C" w14:textId="77777777" w:rsidR="00CC3A93" w:rsidRDefault="00CC3A93" w:rsidP="00CC3A93"/>
    <w:p w14:paraId="1D014073" w14:textId="77777777" w:rsidR="00CC3A93" w:rsidRDefault="00CC3A93" w:rsidP="00CC3A93">
      <w:r>
        <w:t>Perhaps you could also work out the traditional implementation of public and private.</w:t>
      </w:r>
    </w:p>
    <w:p w14:paraId="541247AE" w14:textId="77777777" w:rsidR="00CC3A93" w:rsidRDefault="00CC3A93" w:rsidP="00CC3A93">
      <w:r>
        <w:t>In that setting the original notation is usable.</w:t>
      </w:r>
    </w:p>
    <w:p w14:paraId="5C54B820" w14:textId="77777777" w:rsidR="00CC3A93" w:rsidRDefault="00CC3A93" w:rsidP="00CC3A93">
      <w:r>
        <w:t>Now it is all changing. Perhaps it will create clarity if you isolate the original idea.</w:t>
      </w:r>
    </w:p>
    <w:p w14:paraId="39287C44" w14:textId="77777777" w:rsidR="00CC3A93" w:rsidRDefault="00CC3A93" w:rsidP="00CC3A93"/>
    <w:p w14:paraId="613411F8" w14:textId="77777777" w:rsidR="00CC3A93" w:rsidRDefault="00CC3A93" w:rsidP="00CC3A93">
      <w:r>
        <w:t>It is superseded by the Friendship idea. And later, the Friendship idea will probably</w:t>
      </w:r>
    </w:p>
    <w:p w14:paraId="25A24C0F" w14:textId="77777777" w:rsidR="00CC3A93" w:rsidRDefault="00CC3A93" w:rsidP="00CC3A93">
      <w:r>
        <w:t>be superseded by Access Control: public and private and user access control are the same concept.</w:t>
      </w:r>
    </w:p>
    <w:p w14:paraId="5E4CA3AE" w14:textId="77777777" w:rsidR="00CC3A93" w:rsidRDefault="00CC3A93" w:rsidP="00CC3A93">
      <w:r>
        <w:t>But you have to make dues with intermediate solutions. So the traditional idea behind</w:t>
      </w:r>
    </w:p>
    <w:p w14:paraId="3D3027F2" w14:textId="77777777" w:rsidR="00CC3A93" w:rsidRDefault="00CC3A93" w:rsidP="00CC3A93">
      <w:r>
        <w:t>Public and Private is also important.... maybe.</w:t>
      </w:r>
    </w:p>
    <w:p w14:paraId="7B7951AB" w14:textId="77777777" w:rsidR="00CC3A93" w:rsidRDefault="00CC3A93" w:rsidP="00CC3A93"/>
    <w:p w14:paraId="783EF664" w14:textId="77777777" w:rsidR="00CC3A93" w:rsidRDefault="00CC3A93" w:rsidP="00CC3A93"/>
    <w:p w14:paraId="227F627A" w14:textId="77777777" w:rsidR="00CC3A93" w:rsidRDefault="00CC3A93" w:rsidP="00CC3A93">
      <w:r>
        <w:t>The main problem with the original idea about Public and Private,</w:t>
      </w:r>
    </w:p>
    <w:p w14:paraId="0BF19773" w14:textId="77777777" w:rsidR="00CC3A93" w:rsidRDefault="00CC3A93" w:rsidP="00CC3A93">
      <w:r>
        <w:t>is that a programmer does not define a containment structure,</w:t>
      </w:r>
    </w:p>
    <w:p w14:paraId="4E4BC1EF" w14:textId="77777777" w:rsidR="00CC3A93" w:rsidRDefault="00CC3A93" w:rsidP="00CC3A93">
      <w:r>
        <w:t>and there is only a referential structure...</w:t>
      </w:r>
    </w:p>
    <w:p w14:paraId="4B5BDFA4" w14:textId="77777777" w:rsidR="00CC3A93" w:rsidRDefault="00CC3A93" w:rsidP="00CC3A93">
      <w:r>
        <w:t xml:space="preserve">Something contained inside another thing can easily also </w:t>
      </w:r>
    </w:p>
    <w:p w14:paraId="1E9F6D0C" w14:textId="77777777" w:rsidR="00CC3A93" w:rsidRDefault="00CC3A93" w:rsidP="00CC3A93">
      <w:r>
        <w:t>be referenced elsewhere. This counts for methods too,</w:t>
      </w:r>
    </w:p>
    <w:p w14:paraId="6527305C" w14:textId="77777777" w:rsidR="00CC3A93" w:rsidRDefault="00CC3A93" w:rsidP="00CC3A93">
      <w:r>
        <w:t>so they are not exclusively part of one single object / class.</w:t>
      </w:r>
    </w:p>
    <w:p w14:paraId="2B7732CF" w14:textId="77777777" w:rsidR="00CC3A93" w:rsidRDefault="00CC3A93" w:rsidP="00CC3A93"/>
    <w:p w14:paraId="16E4EC91" w14:textId="77777777" w:rsidR="00CC3A93" w:rsidRDefault="00CC3A93" w:rsidP="00CC3A93">
      <w:r>
        <w:t>This creates problems for the traditional approach of Public and Private.</w:t>
      </w:r>
    </w:p>
    <w:p w14:paraId="67544772" w14:textId="77777777" w:rsidR="00CC3A93" w:rsidRDefault="00CC3A93" w:rsidP="00CC3A93"/>
    <w:p w14:paraId="2745D946" w14:textId="77777777" w:rsidR="00CC3A93" w:rsidRDefault="00CC3A93" w:rsidP="00CC3A93"/>
    <w:p w14:paraId="3DAD2BBF" w14:textId="77777777" w:rsidR="00CC3A93" w:rsidRDefault="00CC3A93" w:rsidP="00CC3A93">
      <w:r>
        <w:t>Who knows. Maybe the whole idea I have now about the Black Box</w:t>
      </w:r>
    </w:p>
    <w:p w14:paraId="377405A5" w14:textId="77777777" w:rsidR="00CC3A93" w:rsidRDefault="00CC3A93" w:rsidP="00CC3A93">
      <w:r>
        <w:t>principle will totally change in this project.</w:t>
      </w:r>
    </w:p>
    <w:p w14:paraId="79095AD0" w14:textId="77777777" w:rsidR="00CC3A93" w:rsidRDefault="00CC3A93" w:rsidP="00CC3A93"/>
    <w:p w14:paraId="76EDCF87" w14:textId="77777777" w:rsidR="00CC3A93" w:rsidRDefault="00CC3A93" w:rsidP="00CC3A93">
      <w:r>
        <w:t>The main problem I still see, is that in the new system, containment</w:t>
      </w:r>
    </w:p>
    <w:p w14:paraId="1C3F5286" w14:textId="77777777" w:rsidR="00CC3A93" w:rsidRDefault="00CC3A93" w:rsidP="00CC3A93">
      <w:r>
        <w:t>is not so actively set by programmers anymore, because you</w:t>
      </w:r>
    </w:p>
    <w:p w14:paraId="444DA87C" w14:textId="77777777" w:rsidR="00CC3A93" w:rsidRDefault="00CC3A93" w:rsidP="00CC3A93">
      <w:r>
        <w:t>are mainly working with a referential structure, which makes</w:t>
      </w:r>
    </w:p>
    <w:p w14:paraId="724573A9" w14:textId="77777777" w:rsidR="00CC3A93" w:rsidRDefault="00CC3A93" w:rsidP="00CC3A93">
      <w:r>
        <w:t>the containment structure more volatile.</w:t>
      </w:r>
    </w:p>
    <w:p w14:paraId="6D7319B2" w14:textId="77777777" w:rsidR="00CC3A93" w:rsidRDefault="00CC3A93" w:rsidP="00CC3A93"/>
    <w:p w14:paraId="73ADB2E1" w14:textId="77777777" w:rsidR="00CC3A93" w:rsidRDefault="00CC3A93" w:rsidP="00CC3A9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14:paraId="69B44D42" w14:textId="77777777" w:rsidR="00CC3A93" w:rsidRDefault="00CC3A93" w:rsidP="00CC3A93"/>
    <w:p w14:paraId="4504CFFE" w14:textId="77777777" w:rsidR="00CC3A93" w:rsidRDefault="00CC3A93" w:rsidP="00CC3A93">
      <w:pPr>
        <w:ind w:left="852"/>
      </w:pPr>
      <w:r>
        <w:t>Outside the circle of friends the black boxed contents are not even visible. That’s the way black boxing is still directly depicted in the diagram.</w:t>
      </w:r>
    </w:p>
    <w:p w14:paraId="64AC1624" w14:textId="77777777" w:rsidR="00CC3A93" w:rsidRDefault="00CC3A93" w:rsidP="00CC3A93">
      <w:pPr>
        <w:pStyle w:val="Spacing"/>
      </w:pPr>
    </w:p>
    <w:p w14:paraId="38DA5F3C" w14:textId="77777777" w:rsidR="00CC3A93" w:rsidRDefault="00CC3A93" w:rsidP="00CC3A9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14:paraId="2C8459D0" w14:textId="77777777" w:rsidR="00CC3A93" w:rsidRDefault="00CC3A93" w:rsidP="00CC3A93">
      <w:pPr>
        <w:pStyle w:val="Spacing"/>
      </w:pPr>
    </w:p>
    <w:p w14:paraId="6C76524F" w14:textId="77777777" w:rsidR="00CC3A93" w:rsidRDefault="00CC3A93" w:rsidP="00CC3A93">
      <w:r>
        <w:t>So there is a slight shift in the view on Black Boxing.</w:t>
      </w:r>
    </w:p>
    <w:p w14:paraId="1240810F" w14:textId="77777777" w:rsidR="00CC3A93" w:rsidRDefault="00CC3A93" w:rsidP="00CC3A93"/>
    <w:p w14:paraId="4FA3E6B4" w14:textId="77777777" w:rsidR="00CC3A93" w:rsidRDefault="00CC3A93" w:rsidP="00CC3A9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14:paraId="5DD66174" w14:textId="77777777" w:rsidR="00CC3A93" w:rsidRDefault="00CC3A93" w:rsidP="00CC3A93"/>
    <w:p w14:paraId="046585B9" w14:textId="77777777" w:rsidR="00CC3A93" w:rsidRDefault="00CC3A93" w:rsidP="00CC3A93"/>
    <w:p w14:paraId="45C7B0DF" w14:textId="77777777" w:rsidR="00CC3A93" w:rsidRDefault="00CC3A93" w:rsidP="00CC3A93">
      <w:r>
        <w:t>Comparison to traditional black boxing,</w:t>
      </w:r>
    </w:p>
    <w:p w14:paraId="18D92A5D" w14:textId="77777777" w:rsidR="00CC3A93" w:rsidRPr="00EE3BAF" w:rsidRDefault="00CC3A93" w:rsidP="00CC3A93">
      <w:pPr>
        <w:rPr>
          <w:lang w:val="nl-NL"/>
        </w:rPr>
      </w:pPr>
      <w:r w:rsidRPr="00EE3BAF">
        <w:rPr>
          <w:lang w:val="nl-NL"/>
        </w:rPr>
        <w:t>2009-07-01</w:t>
      </w:r>
    </w:p>
    <w:p w14:paraId="5E3AF2F9" w14:textId="77777777" w:rsidR="00CC3A93" w:rsidRPr="00EE3BAF" w:rsidRDefault="00CC3A93" w:rsidP="00CC3A93">
      <w:pPr>
        <w:rPr>
          <w:lang w:val="nl-NL"/>
        </w:rPr>
      </w:pPr>
    </w:p>
    <w:p w14:paraId="16881559" w14:textId="77777777" w:rsidR="00CC3A93" w:rsidRDefault="00CC3A93" w:rsidP="00CC3A93">
      <w:pPr>
        <w:rPr>
          <w:lang w:val="nl-NL"/>
        </w:rPr>
      </w:pPr>
      <w:r w:rsidRPr="00117ABD">
        <w:rPr>
          <w:lang w:val="nl-NL"/>
        </w:rPr>
        <w:t xml:space="preserve">Hoe komt het black box principe nog naar voren? </w:t>
      </w:r>
      <w:r>
        <w:rPr>
          <w:lang w:val="nl-NL"/>
        </w:rPr>
        <w:t>Wordt dat black box principe letterlijk genoeg zichtbaar?</w:t>
      </w:r>
    </w:p>
    <w:p w14:paraId="7DA7B778" w14:textId="77777777" w:rsidR="00CC3A93" w:rsidRPr="00117ABD" w:rsidRDefault="00CC3A93" w:rsidP="00CC3A93">
      <w:pPr>
        <w:pStyle w:val="Spacing"/>
        <w:rPr>
          <w:lang w:val="nl-NL"/>
        </w:rPr>
      </w:pPr>
    </w:p>
    <w:p w14:paraId="26366304" w14:textId="77777777" w:rsidR="00CC3A93" w:rsidRDefault="00CC3A93" w:rsidP="00CC3A93">
      <w:r>
        <w:t xml:space="preserve">It is so incredibly referential. </w:t>
      </w:r>
      <w:proofErr w:type="spellStart"/>
      <w:r>
        <w:t>Euwch</w:t>
      </w:r>
      <w:proofErr w:type="spellEnd"/>
      <w:r>
        <w:t>.</w:t>
      </w:r>
    </w:p>
    <w:p w14:paraId="0F816400" w14:textId="77777777" w:rsidR="00CC3A93" w:rsidRDefault="00CC3A93" w:rsidP="00CC3A9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14:paraId="71E61BC7" w14:textId="77777777" w:rsidR="00CC3A93" w:rsidRDefault="00CC3A93" w:rsidP="00CC3A93">
      <w:pPr>
        <w:pStyle w:val="Spacing"/>
      </w:pPr>
    </w:p>
    <w:p w14:paraId="23C4A1F2" w14:textId="77777777" w:rsidR="00CC3A93" w:rsidRDefault="00CC3A93" w:rsidP="00CC3A93">
      <w:r>
        <w:t>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p>
    <w:p w14:paraId="4985961B" w14:textId="77777777" w:rsidR="00CC3A93" w:rsidRDefault="00CC3A93" w:rsidP="00CC3A9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14:paraId="24DC77CE" w14:textId="77777777" w:rsidR="00CC3A93" w:rsidRDefault="00CC3A93" w:rsidP="00CC3A93">
      <w:pPr>
        <w:pStyle w:val="Spacing"/>
      </w:pPr>
    </w:p>
    <w:p w14:paraId="38ECE630" w14:textId="77777777" w:rsidR="00CC3A93" w:rsidRDefault="00CC3A93" w:rsidP="00CC3A93">
      <w:r>
        <w:t xml:space="preserve">For the time being this all will be put under ‘Comparison to Traditional Black Boxing’, which is not called a </w:t>
      </w:r>
      <w:r w:rsidRPr="00310F1A">
        <w:rPr>
          <w:i/>
        </w:rPr>
        <w:t xml:space="preserve">main issue </w:t>
      </w:r>
      <w:r>
        <w:t>for nothing.</w:t>
      </w:r>
    </w:p>
    <w:p w14:paraId="73479CCC" w14:textId="77777777" w:rsidR="00CC3A93" w:rsidRDefault="00CC3A93" w:rsidP="00CC3A93">
      <w:pPr>
        <w:pStyle w:val="Spacing"/>
      </w:pPr>
    </w:p>
    <w:p w14:paraId="1D572464" w14:textId="77777777" w:rsidR="00CC3A93" w:rsidRDefault="00CC3A93" w:rsidP="00CC3A93">
      <w:r>
        <w:t>How stupid is the older notation of public and private when you use it in the less-referential containment notation?</w:t>
      </w:r>
    </w:p>
    <w:p w14:paraId="331BC18F" w14:textId="77777777" w:rsidR="00CC3A93" w:rsidRDefault="00CC3A93" w:rsidP="00CC3A93">
      <w:pPr>
        <w:pStyle w:val="Spacing"/>
      </w:pPr>
    </w:p>
    <w:p w14:paraId="4ADD4B63" w14:textId="77777777" w:rsidR="00CC3A93" w:rsidRPr="006349B7" w:rsidRDefault="00CC3A93" w:rsidP="00CC3A9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14:paraId="26A1F6E6" w14:textId="77777777" w:rsidR="00CC3A93" w:rsidRDefault="00CC3A93" w:rsidP="00CC3A93"/>
    <w:p w14:paraId="2E89988B" w14:textId="77777777" w:rsidR="00CC3A93" w:rsidRDefault="00CC3A93" w:rsidP="00CC3A93">
      <w:r>
        <w:t>JJ</w:t>
      </w:r>
    </w:p>
    <w:p w14:paraId="6FADCECE" w14:textId="77777777" w:rsidR="00CC3A93" w:rsidRDefault="00CC3A93" w:rsidP="00CC3A93"/>
    <w:p w14:paraId="79E3AB85" w14:textId="77777777" w:rsidR="00CC3A93" w:rsidRDefault="00CC3A93" w:rsidP="00CC3A93"/>
    <w:p w14:paraId="2E3802BB" w14:textId="77777777" w:rsidR="00CC3A93" w:rsidRDefault="00CC3A93" w:rsidP="00CC3A93">
      <w:r>
        <w:t>A command’s access to a parameter’s privates or only its publics.</w:t>
      </w:r>
    </w:p>
    <w:p w14:paraId="35CD8BB0" w14:textId="77777777" w:rsidR="00CC3A93" w:rsidRDefault="00CC3A93" w:rsidP="00CC3A93">
      <w:pPr>
        <w:pStyle w:val="Spacing"/>
      </w:pPr>
    </w:p>
    <w:p w14:paraId="2974AAEB" w14:textId="77777777" w:rsidR="00CC3A93" w:rsidRDefault="00CC3A93" w:rsidP="00CC3A93">
      <w:r>
        <w:t>&lt; Perhaps save this for the ‘traditional black boxing’ section: &gt;</w:t>
      </w:r>
    </w:p>
    <w:p w14:paraId="7BCDB3E3" w14:textId="77777777" w:rsidR="00CC3A93" w:rsidRDefault="00CC3A93" w:rsidP="00CC3A93">
      <w:r>
        <w:t>A typical situation of friendship in object oriented programming is where an object has private and public data, and there are friend commands. The commands can access the private data of the object, thus becoming the protectors of the object’s private data.</w:t>
      </w:r>
    </w:p>
    <w:p w14:paraId="1D7B065A" w14:textId="77777777" w:rsidR="00CC3A93" w:rsidRDefault="00CC3A93" w:rsidP="00CC3A9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14:paraId="13AF59FA" w14:textId="77777777" w:rsidR="00CC3A93" w:rsidRDefault="00CC3A93" w:rsidP="00CC3A93"/>
    <w:p w14:paraId="491B96E6" w14:textId="77777777" w:rsidR="00CC3A93" w:rsidRDefault="00CC3A93" w:rsidP="00CC3A93"/>
    <w:p w14:paraId="4278CF8B" w14:textId="77777777" w:rsidR="00CC3A93" w:rsidRDefault="00CC3A93" w:rsidP="00CC3A93">
      <w:r>
        <w:t>2008-05-18</w:t>
      </w:r>
    </w:p>
    <w:p w14:paraId="2FBEE71B" w14:textId="77777777" w:rsidR="00CC3A93" w:rsidRDefault="00CC3A93" w:rsidP="00CC3A93">
      <w:pPr>
        <w:pStyle w:val="Spacing"/>
      </w:pPr>
    </w:p>
    <w:p w14:paraId="49B4C7F5" w14:textId="77777777" w:rsidR="00CC3A93" w:rsidRPr="006673F7" w:rsidRDefault="00CC3A93" w:rsidP="00CC3A93">
      <w:r>
        <w:t>Access to the private contents of a class creates a tighter bond between a command and a class. This concept is important.</w:t>
      </w:r>
    </w:p>
    <w:p w14:paraId="3767D0FB" w14:textId="77777777" w:rsidR="00CC3A93" w:rsidRDefault="00CC3A93" w:rsidP="00CC3A93">
      <w:pPr>
        <w:pStyle w:val="Spacing"/>
      </w:pPr>
    </w:p>
    <w:p w14:paraId="24C8F1E5" w14:textId="77777777" w:rsidR="00CC3A93" w:rsidRDefault="00CC3A93" w:rsidP="00CC3A93">
      <w:r>
        <w:t>JJ</w:t>
      </w:r>
    </w:p>
    <w:p w14:paraId="4BF4A752" w14:textId="77777777" w:rsidR="00CC3A93" w:rsidRDefault="00CC3A93" w:rsidP="00CC3A93"/>
    <w:p w14:paraId="03C3D96C" w14:textId="77777777" w:rsidR="00CC3A93" w:rsidRDefault="00CC3A93" w:rsidP="00CC3A93"/>
    <w:p w14:paraId="0B78B58A" w14:textId="77777777" w:rsidR="00CC3A93" w:rsidRDefault="00CC3A93" w:rsidP="00CC3A93">
      <w:r>
        <w:t>Public &amp; Private,</w:t>
      </w:r>
    </w:p>
    <w:p w14:paraId="30D9368A" w14:textId="77777777" w:rsidR="00CC3A93" w:rsidRDefault="00CC3A93" w:rsidP="00CC3A93">
      <w:r>
        <w:t>Friend Access,</w:t>
      </w:r>
    </w:p>
    <w:p w14:paraId="180E29F2" w14:textId="77777777" w:rsidR="00CC3A93" w:rsidRDefault="00CC3A93" w:rsidP="00CC3A93">
      <w:r>
        <w:t>2008-09-22</w:t>
      </w:r>
    </w:p>
    <w:p w14:paraId="726BEC46" w14:textId="77777777" w:rsidR="00CC3A93" w:rsidRDefault="00CC3A93" w:rsidP="00CC3A93">
      <w:r>
        <w:t>(out of the original document Commands &amp; Classes Loosely Coupled)</w:t>
      </w:r>
    </w:p>
    <w:p w14:paraId="31541E96" w14:textId="77777777" w:rsidR="00CC3A93" w:rsidRDefault="00CC3A93" w:rsidP="00CC3A93"/>
    <w:p w14:paraId="03261C5D" w14:textId="77777777" w:rsidR="00CC3A93" w:rsidRDefault="00CC3A93" w:rsidP="00CC3A93">
      <w:r>
        <w:t>In the new computer language’s implementation of parameters, commands only become part of a class if the class is used for one of the parameters of the command.</w:t>
      </w:r>
    </w:p>
    <w:p w14:paraId="681AD447" w14:textId="77777777" w:rsidR="00CC3A93" w:rsidRDefault="00CC3A93" w:rsidP="00CC3A93">
      <w:r>
        <w:t>This makes it possible for a command to become part of multiple classes.</w:t>
      </w:r>
    </w:p>
    <w:p w14:paraId="684EA659" w14:textId="77777777" w:rsidR="00CC3A93" w:rsidRDefault="00CC3A93" w:rsidP="00CC3A93">
      <w:r>
        <w:t>This is a richer and more dynamic approach, than object oriented programming languages. You may now think you are loosing control over the system, if a class gets so easily extended with more commands. But you still have control, as will be explained in the Interfaces article group.</w:t>
      </w:r>
    </w:p>
    <w:p w14:paraId="2C508D29" w14:textId="77777777" w:rsidR="00CC3A93" w:rsidRDefault="00CC3A93" w:rsidP="00CC3A9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w:t>
      </w:r>
      <w:proofErr w:type="spellStart"/>
      <w:r>
        <w:t>acccessed</w:t>
      </w:r>
      <w:proofErr w:type="spellEnd"/>
      <w:r>
        <w:t xml:space="preserve">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14:paraId="294415CB" w14:textId="77777777" w:rsidR="00CC3A93" w:rsidRDefault="00CC3A93" w:rsidP="00CC3A93"/>
    <w:p w14:paraId="3404D38E" w14:textId="77777777" w:rsidR="00CC3A93" w:rsidRDefault="00CC3A93" w:rsidP="00CC3A93">
      <w:r>
        <w:t xml:space="preserve">Commands do not decide on their own whether they have access to a class’s private contents. A class grants a command access to its private contents. </w:t>
      </w:r>
    </w:p>
    <w:p w14:paraId="3834BB03" w14:textId="77777777" w:rsidR="00CC3A93" w:rsidRDefault="00CC3A93" w:rsidP="00CC3A93"/>
    <w:p w14:paraId="59F7466B" w14:textId="77777777" w:rsidR="00CC3A93" w:rsidRDefault="00CC3A93" w:rsidP="00CC3A93">
      <w:r>
        <w:t xml:space="preserve">This makes the command </w:t>
      </w:r>
      <w:r w:rsidRPr="00653149">
        <w:rPr>
          <w:i/>
        </w:rPr>
        <w:t xml:space="preserve">more </w:t>
      </w:r>
      <w:r>
        <w:t>part of the class, but a command is still a separate entity, that can apply to multiple classes.</w:t>
      </w:r>
    </w:p>
    <w:p w14:paraId="7E555906" w14:textId="77777777" w:rsidR="00CC3A93" w:rsidRPr="00926204" w:rsidRDefault="00CC3A93" w:rsidP="00CC3A93">
      <w:pPr>
        <w:pStyle w:val="Spacing"/>
      </w:pPr>
    </w:p>
    <w:p w14:paraId="2B45396F" w14:textId="77777777" w:rsidR="00CC3A93" w:rsidRDefault="00CC3A93" w:rsidP="00CC3A9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14:paraId="19B933B7" w14:textId="77777777" w:rsidR="00CC3A93" w:rsidRPr="00926204" w:rsidRDefault="00CC3A93" w:rsidP="00CC3A93">
      <w:pPr>
        <w:pStyle w:val="Spacing"/>
      </w:pPr>
    </w:p>
    <w:p w14:paraId="7101A588" w14:textId="77777777" w:rsidR="00CC3A93" w:rsidRDefault="00CC3A93" w:rsidP="00CC3A9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14:paraId="67383922" w14:textId="77777777" w:rsidR="00CC3A93" w:rsidRDefault="00CC3A93" w:rsidP="00CC3A93"/>
    <w:p w14:paraId="72F4A863" w14:textId="77777777" w:rsidR="00CC3A93" w:rsidRDefault="00CC3A93" w:rsidP="00CC3A93">
      <w:r>
        <w:t>JJ</w:t>
      </w:r>
    </w:p>
    <w:p w14:paraId="2EECD268" w14:textId="77777777" w:rsidR="00CC3A93" w:rsidRDefault="00CC3A93" w:rsidP="00CC3A93"/>
    <w:p w14:paraId="4E509DBF" w14:textId="77777777" w:rsidR="00CC3A93" w:rsidRDefault="00CC3A93" w:rsidP="00CC3A93">
      <w:pPr>
        <w:pStyle w:val="Heading5"/>
      </w:pPr>
      <w:r>
        <w:t>Brainstorm</w:t>
      </w:r>
    </w:p>
    <w:p w14:paraId="05C08A8C" w14:textId="77777777" w:rsidR="00CC3A93" w:rsidRDefault="00CC3A93" w:rsidP="00CC3A93"/>
    <w:p w14:paraId="468FCE63" w14:textId="77777777" w:rsidR="00CC3A93" w:rsidRPr="00BD5C19" w:rsidRDefault="00CC3A93" w:rsidP="00CC3A93"/>
    <w:p w14:paraId="15ED8848" w14:textId="77777777" w:rsidR="00CC3A93" w:rsidRDefault="00CC3A93" w:rsidP="00CC3A93">
      <w:r>
        <w:t>In traditional black boxing in object oriented programming an object had commands and each private member of that object was accessible inside that command.</w:t>
      </w:r>
    </w:p>
    <w:p w14:paraId="5491DD3D" w14:textId="77777777" w:rsidR="00CC3A93" w:rsidRDefault="00CC3A93" w:rsidP="00CC3A93">
      <w:r>
        <w:t>In the new computer language there are the following differences:</w:t>
      </w:r>
    </w:p>
    <w:p w14:paraId="7AE15801" w14:textId="77777777" w:rsidR="00CC3A93" w:rsidRDefault="00CC3A93" w:rsidP="00CC3A93">
      <w:pPr>
        <w:ind w:left="852"/>
      </w:pPr>
      <w:r>
        <w:t>- A command is not part of a specific object or class</w:t>
      </w:r>
    </w:p>
    <w:p w14:paraId="31FA1F51" w14:textId="77777777" w:rsidR="00CC3A93" w:rsidRDefault="00CC3A93" w:rsidP="00CC3A93">
      <w:pPr>
        <w:ind w:left="852"/>
      </w:pPr>
      <w:r>
        <w:t>- A command and an object are basically the same thing</w:t>
      </w:r>
    </w:p>
    <w:p w14:paraId="63903121" w14:textId="77777777" w:rsidR="00CC3A93" w:rsidRDefault="00CC3A93" w:rsidP="00CC3A93">
      <w:pPr>
        <w:ind w:left="568"/>
      </w:pPr>
      <w:r>
        <w:t xml:space="preserve">The main idea for the solution is </w:t>
      </w:r>
      <w:r w:rsidRPr="009F1D7E">
        <w:rPr>
          <w:rStyle w:val="CodeChar"/>
        </w:rPr>
        <w:t>Friendship</w:t>
      </w:r>
      <w:r>
        <w:t>.</w:t>
      </w:r>
    </w:p>
    <w:p w14:paraId="2DB99C80" w14:textId="77777777" w:rsidR="00CC3A93" w:rsidRDefault="00CC3A93" w:rsidP="00CC3A93">
      <w:pPr>
        <w:ind w:left="568"/>
      </w:pPr>
    </w:p>
    <w:p w14:paraId="44B5A85A" w14:textId="77777777" w:rsidR="00CC3A93" w:rsidRDefault="00CC3A93" w:rsidP="00CC3A93">
      <w:pPr>
        <w:ind w:left="568"/>
      </w:pPr>
      <w:r>
        <w:t>…</w:t>
      </w:r>
    </w:p>
    <w:p w14:paraId="080853F9" w14:textId="77777777" w:rsidR="00CC3A93" w:rsidRDefault="00CC3A93" w:rsidP="00CC3A93">
      <w:pPr>
        <w:ind w:left="568"/>
      </w:pPr>
    </w:p>
    <w:p w14:paraId="428A31AD" w14:textId="77777777" w:rsidR="00CC3A93" w:rsidRDefault="00CC3A93" w:rsidP="00CC3A93">
      <w:pPr>
        <w:ind w:left="568"/>
      </w:pPr>
      <w:r>
        <w:t xml:space="preserve">If the friend object is a command, then if the command has a reference to that object, from within the command, you can reference anything private inside the friend object. This is </w:t>
      </w:r>
      <w:proofErr w:type="spellStart"/>
      <w:r>
        <w:t>analogus</w:t>
      </w:r>
      <w:proofErr w:type="spellEnd"/>
      <w:r>
        <w:t xml:space="preserve"> to the this-argument of a command. The private contents of an object passed as the this argument can be accessed from within the command. However, in the new computer language a command can have multiple this-arguments: befriended objects.</w:t>
      </w:r>
    </w:p>
    <w:p w14:paraId="4AA098DB" w14:textId="77777777" w:rsidR="00CC3A93" w:rsidRDefault="00CC3A93" w:rsidP="00CC3A93">
      <w:pPr>
        <w:pStyle w:val="Spacing"/>
      </w:pPr>
    </w:p>
    <w:p w14:paraId="0E14EFB0" w14:textId="77777777" w:rsidR="00CC3A93" w:rsidRDefault="00CC3A93" w:rsidP="00CC3A93">
      <w:r>
        <w:t>So friend commands are like class methods.</w:t>
      </w:r>
    </w:p>
    <w:p w14:paraId="543BFC84" w14:textId="77777777" w:rsidR="00CC3A93" w:rsidRDefault="00CC3A93" w:rsidP="00CC3A93">
      <w:r>
        <w:t>&lt; state that every command with a parameter with a class becomes that class’s method, but not as tight a bond as a friend method. &gt;</w:t>
      </w:r>
    </w:p>
    <w:p w14:paraId="1C533C08" w14:textId="77777777" w:rsidR="00CC3A93" w:rsidRDefault="00CC3A93" w:rsidP="00CC3A93">
      <w:pPr>
        <w:pStyle w:val="Spacing"/>
      </w:pPr>
    </w:p>
    <w:p w14:paraId="4032BDD9" w14:textId="77777777" w:rsidR="00CC3A93" w:rsidRDefault="00CC3A93" w:rsidP="00CC3A93">
      <w:pPr>
        <w:ind w:left="568"/>
      </w:pPr>
      <w:r>
        <w:t>In traditional black boxing it only applies to friend commands (class methods) and their befriended objects (this-arguments).</w:t>
      </w:r>
    </w:p>
    <w:p w14:paraId="75A9F77C" w14:textId="77777777" w:rsidR="00CC3A93" w:rsidRDefault="00CC3A93" w:rsidP="00CC3A93">
      <w:pPr>
        <w:ind w:left="568"/>
      </w:pPr>
      <w:r>
        <w:t>But in the new computer language you can also have:</w:t>
      </w:r>
    </w:p>
    <w:p w14:paraId="14883F18" w14:textId="77777777" w:rsidR="00CC3A93" w:rsidRDefault="00CC3A93" w:rsidP="00CC3A93">
      <w:pPr>
        <w:ind w:left="852"/>
      </w:pPr>
      <w:r>
        <w:t xml:space="preserve">- Friend objects of befriended commands and </w:t>
      </w:r>
    </w:p>
    <w:p w14:paraId="49E936B0" w14:textId="77777777" w:rsidR="00CC3A93" w:rsidRDefault="00CC3A93" w:rsidP="00CC3A93">
      <w:pPr>
        <w:ind w:left="852"/>
      </w:pPr>
      <w:r>
        <w:t>- Friend objects of befriended objects</w:t>
      </w:r>
    </w:p>
    <w:p w14:paraId="12E3D5E8" w14:textId="77777777" w:rsidR="00CC3A93" w:rsidRDefault="00CC3A93" w:rsidP="00CC3A93">
      <w:pPr>
        <w:ind w:left="852"/>
      </w:pPr>
      <w:r>
        <w:t>- Friend commands of befriended commands</w:t>
      </w:r>
    </w:p>
    <w:p w14:paraId="4991E233" w14:textId="77777777" w:rsidR="00CC3A93" w:rsidRDefault="00CC3A93" w:rsidP="00CC3A9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14:paraId="7C9F8BDA" w14:textId="77777777" w:rsidR="00CC3A93" w:rsidRDefault="00CC3A93" w:rsidP="00CC3A93">
      <w:pPr>
        <w:pStyle w:val="Spacing"/>
      </w:pPr>
    </w:p>
    <w:p w14:paraId="0FC5156C" w14:textId="77777777" w:rsidR="00CC3A93" w:rsidRDefault="00CC3A93" w:rsidP="00CC3A93">
      <w:r>
        <w:t xml:space="preserve">In the second situation one object can access the private contents of another object. That is </w:t>
      </w:r>
      <w:r w:rsidRPr="008F2490">
        <w:rPr>
          <w:i/>
        </w:rPr>
        <w:t xml:space="preserve">exactly </w:t>
      </w:r>
      <w:r>
        <w:t>the same as the C++ implementation of friend classes.</w:t>
      </w:r>
    </w:p>
    <w:p w14:paraId="16D38104" w14:textId="77777777" w:rsidR="00CC3A93" w:rsidRDefault="00CC3A93" w:rsidP="00CC3A93">
      <w:pPr>
        <w:pStyle w:val="Spacing"/>
      </w:pPr>
    </w:p>
    <w:p w14:paraId="4B093372" w14:textId="77777777" w:rsidR="00CC3A93" w:rsidRDefault="00CC3A93" w:rsidP="00CC3A93">
      <w:r>
        <w:t>Actually, class methods &amp; C++ friend methods are the exact same concept in the new computer language.</w:t>
      </w:r>
    </w:p>
    <w:p w14:paraId="3B0770B6" w14:textId="77777777" w:rsidR="00CC3A93" w:rsidRDefault="00CC3A93" w:rsidP="00CC3A93"/>
    <w:p w14:paraId="277BB6DB" w14:textId="77777777" w:rsidR="00CC3A93" w:rsidRDefault="00CC3A93" w:rsidP="00CC3A93">
      <w:pPr>
        <w:ind w:left="852"/>
      </w:pPr>
      <w:r>
        <w:t>&gt; 2009-07-06 Actually, they are not. Friend in the new computer language applies to a specific relation counterpart, while friend in C++ applies to any relation between objects of class A and an object of class B.</w:t>
      </w:r>
    </w:p>
    <w:p w14:paraId="5022C700" w14:textId="77777777" w:rsidR="00CC3A93" w:rsidRDefault="00CC3A93" w:rsidP="00CC3A93">
      <w:pPr>
        <w:pStyle w:val="Spacing"/>
      </w:pPr>
    </w:p>
    <w:p w14:paraId="613923DD" w14:textId="77777777" w:rsidR="00CC3A93" w:rsidRDefault="00CC3A93" w:rsidP="00CC3A93">
      <w:r>
        <w:t>In the third situation a command gets access to another command’s private contents, making the command’s local variables and definition accessible to the other command.</w:t>
      </w:r>
    </w:p>
    <w:p w14:paraId="6821BF75" w14:textId="77777777" w:rsidR="00CC3A93" w:rsidRDefault="00CC3A93" w:rsidP="00CC3A93">
      <w:pPr>
        <w:pStyle w:val="Spacing"/>
      </w:pPr>
    </w:p>
    <w:p w14:paraId="71BAD41A" w14:textId="77777777" w:rsidR="00CC3A93" w:rsidRDefault="00CC3A93" w:rsidP="00CC3A93">
      <w:r>
        <w:t>I am not sure what you are supposed to do with getting access to the private members of a command… but in the simple setting it should be possible.</w:t>
      </w:r>
    </w:p>
    <w:p w14:paraId="2767D92A" w14:textId="77777777" w:rsidR="00CC3A93" w:rsidRDefault="00CC3A93" w:rsidP="00CC3A93">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14:paraId="5602F381" w14:textId="77777777" w:rsidR="00CC3A93" w:rsidRDefault="00CC3A93" w:rsidP="00CC3A93">
      <w:pPr>
        <w:pStyle w:val="Heading5"/>
      </w:pPr>
      <w:r>
        <w:t>Other Brainstorm Items</w:t>
      </w:r>
    </w:p>
    <w:p w14:paraId="4A446E22" w14:textId="77777777" w:rsidR="00CC3A93" w:rsidRDefault="00CC3A93" w:rsidP="00CC3A93">
      <w:r>
        <w:t>The complexity hiding aspect is clearly expresses the black boxing concept in the diagram. It is the hiding aspect that makes the black boxing, not the inside-or-outside aspect.</w:t>
      </w:r>
    </w:p>
    <w:p w14:paraId="3E41F920" w14:textId="77777777" w:rsidR="00CC3A93" w:rsidRDefault="00CC3A93" w:rsidP="00CC3A93">
      <w:pPr>
        <w:pStyle w:val="Heading5"/>
      </w:pPr>
      <w:r>
        <w:t>Using command symbols</w:t>
      </w:r>
    </w:p>
    <w:p w14:paraId="03FF1440" w14:textId="77777777" w:rsidR="00CC3A93" w:rsidRDefault="00CC3A93" w:rsidP="00CC3A93">
      <w:r>
        <w:t>&lt; Cover ~all (?) the notations when one of them is a command symbol? It is to point out how it would look in the traditional approach where commands are friends with their class… &gt;</w:t>
      </w:r>
    </w:p>
    <w:p w14:paraId="6BB883A2" w14:textId="77777777" w:rsidR="00CC3A93" w:rsidRDefault="00CC3A93" w:rsidP="00CC3A93"/>
    <w:p w14:paraId="209EDA62" w14:textId="77777777" w:rsidR="00CC3A93" w:rsidRDefault="00CC3A93" w:rsidP="00CC3A93">
      <w:r>
        <w:t>2009-07-20,</w:t>
      </w:r>
    </w:p>
    <w:p w14:paraId="092CB740" w14:textId="77777777" w:rsidR="00CC3A93" w:rsidRDefault="00CC3A93" w:rsidP="00CC3A93"/>
    <w:p w14:paraId="137EB6F8" w14:textId="77777777" w:rsidR="00CC3A93" w:rsidRDefault="00CC3A93" w:rsidP="00CC3A9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14:paraId="7F3DFBB7" w14:textId="77777777" w:rsidR="00CC3A93" w:rsidRDefault="00CC3A93" w:rsidP="00CC3A93">
      <w:r>
        <w:t xml:space="preserve">&lt; Perhaps these specifics to commands must be separately </w:t>
      </w:r>
      <w:proofErr w:type="spellStart"/>
      <w:r>
        <w:t>adressed</w:t>
      </w:r>
      <w:proofErr w:type="spellEnd"/>
      <w:r>
        <w:t xml:space="preserve">, completely separately. You also need to introduce access </w:t>
      </w:r>
      <w:proofErr w:type="spellStart"/>
      <w:r>
        <w:t>controllling</w:t>
      </w:r>
      <w:proofErr w:type="spellEnd"/>
      <w:r>
        <w:t xml:space="preserve"> Use As Class / Use As Definition in use with commands. &gt;</w:t>
      </w:r>
    </w:p>
    <w:p w14:paraId="07EEA175" w14:textId="77777777" w:rsidR="00CC3A93" w:rsidRDefault="00CC3A93" w:rsidP="00CC3A93"/>
    <w:p w14:paraId="68B4B049" w14:textId="77777777" w:rsidR="00CC3A93" w:rsidRDefault="00CC3A93" w:rsidP="00CC3A93">
      <w:r>
        <w:t xml:space="preserve">&lt; 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14:paraId="76DBD5DB" w14:textId="77777777" w:rsidR="00CC3A93" w:rsidRDefault="00CC3A93" w:rsidP="00CC3A93">
      <w:pPr>
        <w:pStyle w:val="Spacing"/>
      </w:pPr>
    </w:p>
    <w:p w14:paraId="6AA81DA1" w14:textId="77777777" w:rsidR="00CC3A93" w:rsidRDefault="00CC3A93" w:rsidP="00CC3A93">
      <w:r>
        <w:t>You have to consider how the effect of accessing a system aspect looks, and then base the access connector on it.</w:t>
      </w:r>
    </w:p>
    <w:p w14:paraId="4E85990E" w14:textId="77777777" w:rsidR="00CC3A93" w:rsidRDefault="00CC3A93" w:rsidP="00CC3A93"/>
    <w:p w14:paraId="764D99AE" w14:textId="77777777" w:rsidR="00CC3A93" w:rsidRDefault="00CC3A93" w:rsidP="00CC3A93">
      <w:r>
        <w:t>The effect:</w:t>
      </w:r>
    </w:p>
    <w:p w14:paraId="1A0DA21F" w14:textId="77777777" w:rsidR="00CC3A93" w:rsidRDefault="00CC3A93" w:rsidP="00CC3A93"/>
    <w:p w14:paraId="1811471F" w14:textId="77777777" w:rsidR="00CC3A93" w:rsidRDefault="00CC3A93" w:rsidP="00CC3A93">
      <w:pPr>
        <w:ind w:left="852"/>
      </w:pPr>
      <w:r>
        <w:rPr>
          <w:noProof/>
        </w:rPr>
        <w:drawing>
          <wp:inline distT="0" distB="0" distL="0" distR="0" wp14:anchorId="3A4DF107" wp14:editId="5B2475C7">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14:paraId="69E22B27" w14:textId="77777777" w:rsidR="00CC3A93" w:rsidRDefault="00CC3A93" w:rsidP="00CC3A93">
      <w:pPr>
        <w:pStyle w:val="Spacing"/>
      </w:pPr>
    </w:p>
    <w:p w14:paraId="249E6E88" w14:textId="77777777" w:rsidR="00CC3A93" w:rsidRDefault="00CC3A93" w:rsidP="00CC3A93">
      <w:r>
        <w:t>The access connectors:</w:t>
      </w:r>
    </w:p>
    <w:p w14:paraId="6D031871" w14:textId="77777777" w:rsidR="00CC3A93" w:rsidRDefault="00CC3A93" w:rsidP="00CC3A93">
      <w:pPr>
        <w:pStyle w:val="Spacing"/>
      </w:pPr>
    </w:p>
    <w:p w14:paraId="2ACD9A5E" w14:textId="77777777" w:rsidR="00CC3A93" w:rsidRDefault="00CC3A93" w:rsidP="00CC3A93">
      <w:pPr>
        <w:ind w:left="852"/>
      </w:pPr>
      <w:r>
        <w:rPr>
          <w:noProof/>
        </w:rPr>
        <w:drawing>
          <wp:inline distT="0" distB="0" distL="0" distR="0" wp14:anchorId="20C74423" wp14:editId="178DBB53">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14:paraId="2CA7D09B" w14:textId="77777777" w:rsidR="00CC3A93" w:rsidRDefault="00CC3A93" w:rsidP="00CC3A93">
      <w:pPr>
        <w:ind w:left="852"/>
      </w:pPr>
    </w:p>
    <w:p w14:paraId="3CFA9696" w14:textId="77777777" w:rsidR="00CC3A93" w:rsidRDefault="00CC3A93" w:rsidP="00CC3A93">
      <w:pPr>
        <w:ind w:left="852"/>
      </w:pPr>
      <w:r>
        <w:rPr>
          <w:noProof/>
        </w:rPr>
        <w:drawing>
          <wp:inline distT="0" distB="0" distL="0" distR="0" wp14:anchorId="33581301" wp14:editId="54DDDB83">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14:paraId="746FCEE2" w14:textId="77777777" w:rsidR="00CC3A93" w:rsidRDefault="00CC3A93" w:rsidP="00CC3A93">
      <w:pPr>
        <w:pStyle w:val="Spacing"/>
      </w:pPr>
    </w:p>
    <w:p w14:paraId="00609E81" w14:textId="77777777" w:rsidR="00CC3A93" w:rsidRDefault="00CC3A93" w:rsidP="00CC3A9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14:paraId="15AD6BA5" w14:textId="77777777" w:rsidR="00CC3A93" w:rsidRDefault="00CC3A93" w:rsidP="00CC3A93">
      <w:r>
        <w:t>Usability as a definition is expressed through access controlling Use As Class, anyway:</w:t>
      </w:r>
    </w:p>
    <w:p w14:paraId="390755EF" w14:textId="77777777" w:rsidR="00CC3A93" w:rsidRDefault="00CC3A93" w:rsidP="00CC3A93">
      <w:pPr>
        <w:pStyle w:val="Spacing"/>
      </w:pPr>
    </w:p>
    <w:p w14:paraId="6978947C" w14:textId="77777777" w:rsidR="00CC3A93" w:rsidRDefault="00CC3A93" w:rsidP="00CC3A93">
      <w:pPr>
        <w:ind w:left="852"/>
      </w:pPr>
      <w:r>
        <w:rPr>
          <w:noProof/>
        </w:rPr>
        <w:drawing>
          <wp:inline distT="0" distB="0" distL="0" distR="0" wp14:anchorId="5E3B1BBC" wp14:editId="1CA3F1C3">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14:paraId="51E54338" w14:textId="77777777" w:rsidR="00CC3A93" w:rsidRDefault="00CC3A93" w:rsidP="00CC3A93">
      <w:pPr>
        <w:pStyle w:val="Spacing"/>
      </w:pPr>
    </w:p>
    <w:p w14:paraId="6350A3F1" w14:textId="77777777" w:rsidR="00CC3A93" w:rsidRDefault="00CC3A93" w:rsidP="00CC3A9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 &gt;</w:t>
      </w:r>
    </w:p>
    <w:p w14:paraId="27AE4445" w14:textId="77777777" w:rsidR="00CC3A93" w:rsidRDefault="00CC3A93" w:rsidP="00CC3A93"/>
    <w:p w14:paraId="637DDE3C" w14:textId="77777777" w:rsidR="00CC3A93" w:rsidRDefault="00CC3A93" w:rsidP="00CC3A93">
      <w:r>
        <w:t>JJ</w:t>
      </w:r>
    </w:p>
    <w:p w14:paraId="6EC39576" w14:textId="77777777" w:rsidR="00CC3A93" w:rsidRDefault="00CC3A93" w:rsidP="00CC3A93">
      <w:pPr>
        <w:pStyle w:val="Heading4"/>
      </w:pPr>
      <w:bookmarkStart w:id="1" w:name="_Hlk40993665"/>
      <w:r>
        <w:t>Other Details</w:t>
      </w:r>
      <w:bookmarkEnd w:id="1"/>
    </w:p>
    <w:p w14:paraId="6049BEC2" w14:textId="77777777" w:rsidR="00CC3A93" w:rsidRDefault="00CC3A93" w:rsidP="00CC3A93">
      <w:r>
        <w:t>Friends can always pass a reference to a private object</w:t>
      </w:r>
    </w:p>
    <w:p w14:paraId="08281217" w14:textId="77777777" w:rsidR="00CC3A93" w:rsidRDefault="00CC3A93" w:rsidP="00CC3A93">
      <w:r>
        <w:t>after all. Such 'betrayal' by friends is allowed. The friends are</w:t>
      </w:r>
    </w:p>
    <w:p w14:paraId="044AA844" w14:textId="77777777" w:rsidR="00CC3A93" w:rsidRDefault="00CC3A93" w:rsidP="00CC3A93">
      <w:r>
        <w:t>the protectors. If they choose not to protect, than that's THEIR choice.</w:t>
      </w:r>
    </w:p>
    <w:p w14:paraId="3F25FD1D" w14:textId="77777777" w:rsidR="00CC3A93" w:rsidRDefault="00CC3A93" w:rsidP="00CC3A93">
      <w:r>
        <w:t>No problem.</w:t>
      </w:r>
    </w:p>
    <w:p w14:paraId="2F6C1528" w14:textId="77777777" w:rsidR="00CC3A93" w:rsidRDefault="00CC3A93" w:rsidP="00CC3A93">
      <w:pPr>
        <w:ind w:left="852"/>
      </w:pPr>
      <w:r>
        <w:t>&gt; 2009-07-02 It’s a detail.</w:t>
      </w:r>
    </w:p>
    <w:p w14:paraId="60746E47" w14:textId="77777777" w:rsidR="00CC3A93" w:rsidRDefault="00CC3A93" w:rsidP="00CC3A93"/>
    <w:p w14:paraId="6DB79652" w14:textId="77777777" w:rsidR="00CC3A93" w:rsidRDefault="00CC3A93" w:rsidP="00CC3A93">
      <w:r>
        <w:t>Fixed containment,</w:t>
      </w:r>
    </w:p>
    <w:p w14:paraId="370EC3A5" w14:textId="77777777" w:rsidR="00CC3A93" w:rsidRDefault="00CC3A93" w:rsidP="00CC3A93"/>
    <w:p w14:paraId="4C747485" w14:textId="77777777" w:rsidR="00CC3A93" w:rsidRDefault="00CC3A93" w:rsidP="00CC3A93">
      <w:r>
        <w:t>But it is friends that are supposed to be protectors?</w:t>
      </w:r>
    </w:p>
    <w:p w14:paraId="2AA6FB84" w14:textId="77777777" w:rsidR="00CC3A93" w:rsidRDefault="00CC3A93" w:rsidP="00CC3A93">
      <w:r>
        <w:t>And fixed containment, also makes the container a protector.</w:t>
      </w:r>
    </w:p>
    <w:p w14:paraId="630BD1B1" w14:textId="77777777" w:rsidR="00CC3A93" w:rsidRDefault="00CC3A93" w:rsidP="00CC3A93">
      <w:r>
        <w:t>So are those friends as well?</w:t>
      </w:r>
    </w:p>
    <w:p w14:paraId="57784BDD" w14:textId="77777777" w:rsidR="00CC3A93" w:rsidRDefault="00CC3A93" w:rsidP="00CC3A93">
      <w:r>
        <w:t>The protected can only be accessed THROUGH the friend...</w:t>
      </w:r>
    </w:p>
    <w:p w14:paraId="3D0351F3" w14:textId="77777777" w:rsidR="00CC3A93" w:rsidRDefault="00CC3A93" w:rsidP="00CC3A93">
      <w:r>
        <w:t>Hmmm... I have diagrams floating around in my head, but I can not hack it yet.</w:t>
      </w:r>
    </w:p>
    <w:p w14:paraId="436BAA00" w14:textId="77777777" w:rsidR="00CC3A93" w:rsidRDefault="00CC3A93" w:rsidP="00CC3A93">
      <w:r>
        <w:t>I can't see the class method (methods that are friends of the object)</w:t>
      </w:r>
    </w:p>
    <w:p w14:paraId="146589DC" w14:textId="77777777" w:rsidR="00CC3A93" w:rsidRDefault="00CC3A93" w:rsidP="00CC3A93">
      <w:r>
        <w:t>as the protector, and the class itself as the protector of its the items it contains.</w:t>
      </w:r>
    </w:p>
    <w:p w14:paraId="166677D2" w14:textId="77777777" w:rsidR="00CC3A93" w:rsidRDefault="00CC3A93" w:rsidP="00CC3A93"/>
    <w:p w14:paraId="740F5DEC" w14:textId="77777777" w:rsidR="00CC3A93" w:rsidRDefault="00CC3A93" w:rsidP="00CC3A93">
      <w:r>
        <w:t>Gee... I just do not have it figured out yet.</w:t>
      </w:r>
    </w:p>
    <w:p w14:paraId="0C930E24" w14:textId="77777777" w:rsidR="00CC3A93" w:rsidRDefault="00CC3A93" w:rsidP="00CC3A93"/>
    <w:p w14:paraId="009221AC" w14:textId="77777777" w:rsidR="00CC3A93" w:rsidRDefault="00CC3A93" w:rsidP="00CC3A93">
      <w:r>
        <w:t>JJ</w:t>
      </w:r>
    </w:p>
    <w:p w14:paraId="01226582" w14:textId="77777777" w:rsidR="00CC3A93" w:rsidRDefault="00CC3A93" w:rsidP="00CC3A93"/>
    <w:p w14:paraId="1F9CCB2D" w14:textId="77777777" w:rsidR="00CC3A93" w:rsidRDefault="00CC3A93" w:rsidP="00CC3A93">
      <w:pPr>
        <w:ind w:left="568"/>
      </w:pPr>
      <w:r>
        <w:t>Detail: mutual reference is required for a friendship to even work.</w:t>
      </w:r>
    </w:p>
    <w:p w14:paraId="5D2B3CFF" w14:textId="77777777" w:rsidR="00CC3A93" w:rsidRDefault="00CC3A93" w:rsidP="00CC3A93">
      <w:pPr>
        <w:ind w:left="568"/>
      </w:pPr>
    </w:p>
    <w:p w14:paraId="5ECFE44E" w14:textId="77777777" w:rsidR="00CC3A93" w:rsidRDefault="00CC3A93" w:rsidP="00CC3A93">
      <w:pPr>
        <w:ind w:left="568"/>
      </w:pPr>
    </w:p>
    <w:p w14:paraId="68766870" w14:textId="77777777" w:rsidR="00CC3A93" w:rsidRDefault="00CC3A93" w:rsidP="00CC3A93">
      <w:pPr>
        <w:ind w:left="568"/>
      </w:pPr>
      <w:r>
        <w:t>Consider the situation:</w:t>
      </w:r>
    </w:p>
    <w:p w14:paraId="2191844E" w14:textId="77777777" w:rsidR="00CC3A93" w:rsidRDefault="00CC3A93" w:rsidP="00CC3A93">
      <w:pPr>
        <w:ind w:left="568"/>
      </w:pPr>
      <w:r>
        <w:t>access to a selection of private members especially selected for the function.</w:t>
      </w:r>
    </w:p>
    <w:p w14:paraId="668D623A" w14:textId="77777777" w:rsidR="00CC3A93" w:rsidRDefault="00CC3A93" w:rsidP="00CC3A93">
      <w:pPr>
        <w:ind w:left="568"/>
      </w:pPr>
      <w:r>
        <w:tab/>
      </w:r>
    </w:p>
    <w:p w14:paraId="58FE2642" w14:textId="77777777" w:rsidR="00CC3A93" w:rsidRDefault="00CC3A93" w:rsidP="00CC3A93">
      <w:pPr>
        <w:ind w:left="568"/>
      </w:pPr>
      <w:r>
        <w:t>Make an object befriended to a command.</w:t>
      </w:r>
    </w:p>
    <w:p w14:paraId="290E8DFD" w14:textId="77777777" w:rsidR="00CC3A93" w:rsidRDefault="00CC3A93" w:rsidP="00CC3A93">
      <w:pPr>
        <w:ind w:left="568"/>
      </w:pPr>
      <w:r>
        <w:t>Or befriend to a specific reference to a command.</w:t>
      </w:r>
    </w:p>
    <w:p w14:paraId="2E69FED9" w14:textId="77777777" w:rsidR="00CC3A93" w:rsidRDefault="00CC3A93" w:rsidP="00CC3A93">
      <w:pPr>
        <w:ind w:left="568"/>
      </w:pPr>
    </w:p>
    <w:p w14:paraId="33629FCD" w14:textId="77777777" w:rsidR="00CC3A93" w:rsidRDefault="00CC3A93" w:rsidP="00CC3A93">
      <w:pPr>
        <w:ind w:left="568"/>
      </w:pPr>
    </w:p>
    <w:p w14:paraId="6999548F" w14:textId="77777777" w:rsidR="00CC3A93" w:rsidRDefault="00CC3A93" w:rsidP="00CC3A93">
      <w:r>
        <w:t>If you can object-protect the data aspect and the parent applies exclusion to the data aspect, then you have it, that data is accessible on the inside, but not on the outside… do you all of a sudden have that literal inside-outside access control back then?</w:t>
      </w:r>
    </w:p>
    <w:p w14:paraId="275813E2" w14:textId="77777777" w:rsidR="009C4EB7" w:rsidRDefault="009C4EB7" w:rsidP="009C4EB7">
      <w:pPr>
        <w:pStyle w:val="Heading3"/>
      </w:pPr>
      <w:r>
        <w:t>Might Not Cover</w:t>
      </w:r>
    </w:p>
    <w:p w14:paraId="7FD5087D" w14:textId="77777777" w:rsidR="009C4EB7" w:rsidRPr="00EF2A20" w:rsidRDefault="009C4EB7" w:rsidP="009C4EB7">
      <w:r>
        <w:t xml:space="preserve">These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p w14:paraId="16FFA85C" w14:textId="77777777" w:rsidR="009C4EB7" w:rsidRDefault="009C4EB7" w:rsidP="009C4EB7">
      <w:pPr>
        <w:pStyle w:val="Heading4"/>
      </w:pPr>
      <w:r>
        <w:t>Access Modifier Get &amp; Set</w:t>
      </w:r>
    </w:p>
    <w:p w14:paraId="68EA7F5A" w14:textId="77777777" w:rsidR="009C4EB7" w:rsidRDefault="009C4EB7" w:rsidP="009C4EB7">
      <w:r>
        <w:t>Interesting new system commands:</w:t>
      </w:r>
    </w:p>
    <w:p w14:paraId="072486CD" w14:textId="77777777" w:rsidR="009C4EB7" w:rsidRDefault="009C4EB7" w:rsidP="009C4EB7">
      <w:r>
        <w:t>- Access Modifier Get</w:t>
      </w:r>
    </w:p>
    <w:p w14:paraId="1F54178E" w14:textId="77777777" w:rsidR="009C4EB7" w:rsidRDefault="009C4EB7" w:rsidP="009C4EB7">
      <w:r>
        <w:t>- Access Modifier Set</w:t>
      </w:r>
    </w:p>
    <w:p w14:paraId="78185516" w14:textId="77777777" w:rsidR="009C4EB7" w:rsidRDefault="009C4EB7" w:rsidP="009C4EB7">
      <w:r>
        <w:t>So would each system commands have its own system command</w:t>
      </w:r>
    </w:p>
    <w:p w14:paraId="5885172A" w14:textId="77777777" w:rsidR="009C4EB7" w:rsidRDefault="009C4EB7" w:rsidP="009C4EB7">
      <w:r>
        <w:t>controlling the access modifier?</w:t>
      </w:r>
    </w:p>
    <w:p w14:paraId="04D68EF0" w14:textId="77777777" w:rsidR="009C4EB7" w:rsidRDefault="009C4EB7" w:rsidP="009C4EB7">
      <w:r>
        <w:t>But what modifies the access to the access modifier system commands?</w:t>
      </w:r>
    </w:p>
    <w:p w14:paraId="36363726" w14:textId="77777777" w:rsidR="009C4EB7" w:rsidRPr="004770FC" w:rsidRDefault="009C4EB7" w:rsidP="009C4EB7">
      <w:r>
        <w:t>&gt; Details...</w:t>
      </w:r>
    </w:p>
    <w:p w14:paraId="58EE7BDA" w14:textId="77777777" w:rsidR="009C4EB7" w:rsidRDefault="009C4EB7" w:rsidP="009C4EB7">
      <w:pPr>
        <w:pStyle w:val="Heading5"/>
      </w:pPr>
      <w:r>
        <w:t>Changing Access Modifiers at Run Time</w:t>
      </w:r>
    </w:p>
    <w:p w14:paraId="50124C3C" w14:textId="77777777" w:rsidR="009C4EB7" w:rsidRDefault="009C4EB7" w:rsidP="009C4EB7">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14:paraId="6903852B" w14:textId="77777777" w:rsidR="009C4EB7" w:rsidRDefault="009C4EB7" w:rsidP="009C4EB7">
      <w:r>
        <w:tab/>
      </w:r>
    </w:p>
    <w:p w14:paraId="4718A7A0" w14:textId="77777777" w:rsidR="009C4EB7" w:rsidRDefault="009C4EB7" w:rsidP="009C4EB7">
      <w:pPr>
        <w:pStyle w:val="Code"/>
        <w:ind w:firstLine="360"/>
      </w:pPr>
      <w:r>
        <w:t>Access Modifier:</w:t>
      </w:r>
    </w:p>
    <w:p w14:paraId="17E37946" w14:textId="77777777" w:rsidR="009C4EB7" w:rsidRDefault="009C4EB7" w:rsidP="009C4EB7">
      <w:pPr>
        <w:pStyle w:val="Code"/>
        <w:ind w:firstLine="360"/>
      </w:pPr>
      <w:r>
        <w:tab/>
        <w:t>Get and Set</w:t>
      </w:r>
    </w:p>
    <w:p w14:paraId="0CB0253C" w14:textId="77777777" w:rsidR="009C4EB7" w:rsidRDefault="009C4EB7" w:rsidP="009C4EB7"/>
    <w:p w14:paraId="5C91281E" w14:textId="77777777" w:rsidR="009C4EB7" w:rsidRDefault="009C4EB7" w:rsidP="009C4EB7">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14:paraId="47BCDF04" w14:textId="77777777" w:rsidR="009C4EB7" w:rsidRDefault="009C4EB7" w:rsidP="009C4EB7"/>
    <w:p w14:paraId="33C4674F" w14:textId="77777777" w:rsidR="009C4EB7" w:rsidRDefault="009C4EB7" w:rsidP="009C4EB7">
      <w:r>
        <w:t xml:space="preserve">A single procedure can have several access modifiers so there are multiple access modifiers to get and set. This would suggest that the </w:t>
      </w:r>
      <w:proofErr w:type="spellStart"/>
      <w:r>
        <w:t>Accesss</w:t>
      </w:r>
      <w:proofErr w:type="spellEnd"/>
      <w:r>
        <w:t xml:space="preserve">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14:paraId="10BC06C9" w14:textId="77777777" w:rsidR="009C4EB7" w:rsidRDefault="009C4EB7" w:rsidP="009C4EB7"/>
    <w:p w14:paraId="185D12A1" w14:textId="77777777" w:rsidR="009C4EB7" w:rsidRDefault="009C4EB7" w:rsidP="009C4EB7">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14:paraId="45A07A83" w14:textId="77777777" w:rsidR="009C4EB7" w:rsidRDefault="009C4EB7" w:rsidP="009C4EB7">
      <w:pPr>
        <w:pStyle w:val="Heading5"/>
      </w:pPr>
      <w:r>
        <w:t>Changing ‘can be’ class, interface or object</w:t>
      </w:r>
    </w:p>
    <w:p w14:paraId="3888CD21" w14:textId="77777777" w:rsidR="009C4EB7" w:rsidRPr="00A61329" w:rsidRDefault="009C4EB7" w:rsidP="009C4EB7">
      <w:r>
        <w:t>System commands for changing access control to ‘can be’ class, interface or object.</w:t>
      </w:r>
    </w:p>
    <w:p w14:paraId="73324726" w14:textId="77777777" w:rsidR="009C4EB7" w:rsidRDefault="009C4EB7" w:rsidP="009C4EB7">
      <w:pPr>
        <w:pStyle w:val="Heading4"/>
      </w:pPr>
      <w:bookmarkStart w:id="2" w:name="_Hlk40994001"/>
      <w:r>
        <w:t>Grouped Access Control</w:t>
      </w:r>
      <w:bookmarkEnd w:id="2"/>
    </w:p>
    <w:p w14:paraId="6AE066AD" w14:textId="77777777" w:rsidR="009C4EB7" w:rsidRDefault="009C4EB7" w:rsidP="009C4EB7">
      <w:r>
        <w:t xml:space="preserve">Using triangles to group members with equal access controllers. As with exclusion, the access controller of the triangle limits access again. It won’t make things </w:t>
      </w:r>
      <w:r>
        <w:rPr>
          <w:i/>
          <w:iCs/>
        </w:rPr>
        <w:t>more</w:t>
      </w:r>
      <w:r>
        <w:t xml:space="preserve"> accessible.</w:t>
      </w:r>
    </w:p>
    <w:p w14:paraId="3DCFEE03" w14:textId="77777777" w:rsidR="009C4EB7" w:rsidRDefault="009C4EB7" w:rsidP="009C4EB7">
      <w:pPr>
        <w:pStyle w:val="Heading4"/>
      </w:pPr>
      <w:bookmarkStart w:id="3" w:name="_Hlk40994178"/>
      <w:r>
        <w:t>Conditional Access Control</w:t>
      </w:r>
      <w:bookmarkEnd w:id="3"/>
    </w:p>
    <w:p w14:paraId="6CEAC9F8" w14:textId="77777777" w:rsidR="009C4EB7" w:rsidRDefault="009C4EB7" w:rsidP="009C4EB7">
      <w:r>
        <w:t>Replace the protected keyword by a concept like ‘when being a triangle’:</w:t>
      </w:r>
    </w:p>
    <w:p w14:paraId="065329FB" w14:textId="77777777" w:rsidR="009C4EB7" w:rsidRDefault="009C4EB7" w:rsidP="009C4EB7">
      <w:r>
        <w:t>Basically you can optionally totally redefine the access for the case when the type is a used as a triangle.</w:t>
      </w:r>
    </w:p>
    <w:p w14:paraId="3F7E3177" w14:textId="77777777" w:rsidR="009C4EB7" w:rsidRDefault="009C4EB7" w:rsidP="009C4EB7">
      <w:pPr>
        <w:pStyle w:val="Spacing"/>
      </w:pPr>
    </w:p>
    <w:p w14:paraId="673C6D4E" w14:textId="77777777" w:rsidR="009C4EB7" w:rsidRDefault="009C4EB7" w:rsidP="009C4EB7">
      <w:r>
        <w:t>&lt;When being a globality?&gt;</w:t>
      </w:r>
    </w:p>
    <w:p w14:paraId="143A49B1" w14:textId="77777777" w:rsidR="009C4EB7" w:rsidRDefault="009C4EB7" w:rsidP="009C4EB7">
      <w:pPr>
        <w:pStyle w:val="Spacing"/>
      </w:pPr>
    </w:p>
    <w:p w14:paraId="1B29C48C" w14:textId="77777777" w:rsidR="009C4EB7" w:rsidRDefault="009C4EB7" w:rsidP="009C4EB7">
      <w:r>
        <w:t>Or perhaps even make it as general as ‘conditional access control’: Public if triangle.</w:t>
      </w:r>
    </w:p>
    <w:p w14:paraId="2C660002" w14:textId="77777777" w:rsidR="009C4EB7" w:rsidRDefault="009C4EB7" w:rsidP="009C4EB7">
      <w:pPr>
        <w:pStyle w:val="Spacing"/>
      </w:pPr>
    </w:p>
    <w:p w14:paraId="601B1BB3" w14:textId="77777777" w:rsidR="009C4EB7" w:rsidRDefault="009C4EB7" w:rsidP="009C4EB7">
      <w:r>
        <w:t>Or perhaps I am looking too much for systematics behind it.</w:t>
      </w:r>
    </w:p>
    <w:p w14:paraId="0B028D1A" w14:textId="77777777" w:rsidR="009C4EB7" w:rsidRDefault="009C4EB7" w:rsidP="009C4EB7"/>
    <w:p w14:paraId="7BEBE792" w14:textId="77777777" w:rsidR="009C4EB7" w:rsidRDefault="009C4EB7" w:rsidP="009C4EB7">
      <w:r>
        <w:t>Perhaps the base of Use-As access control should (eventually) be based on conditional access control. But for now it can be limited to the conceptual explanation of the most usable things.</w:t>
      </w:r>
    </w:p>
    <w:p w14:paraId="241FD708" w14:textId="77777777" w:rsidR="009C4EB7" w:rsidRDefault="009C4EB7" w:rsidP="009C4EB7">
      <w:pPr>
        <w:pStyle w:val="Heading4"/>
      </w:pPr>
      <w:bookmarkStart w:id="4" w:name="_Hlk40994244"/>
      <w:r>
        <w:t>Delayed Creation of Object’s Privates</w:t>
      </w:r>
      <w:bookmarkEnd w:id="4"/>
    </w:p>
    <w:p w14:paraId="748925A5" w14:textId="77777777" w:rsidR="009C4EB7" w:rsidRDefault="009C4EB7" w:rsidP="009C4EB7">
      <w:r>
        <w:t>Public &amp; Private,</w:t>
      </w:r>
    </w:p>
    <w:p w14:paraId="4C761FAE" w14:textId="77777777" w:rsidR="009C4EB7" w:rsidRDefault="009C4EB7" w:rsidP="009C4EB7">
      <w:r>
        <w:t>2008-08-16</w:t>
      </w:r>
    </w:p>
    <w:p w14:paraId="6AAA300C" w14:textId="77777777" w:rsidR="009C4EB7" w:rsidRDefault="009C4EB7" w:rsidP="009C4EB7"/>
    <w:p w14:paraId="1E023466" w14:textId="77777777" w:rsidR="009C4EB7" w:rsidRDefault="009C4EB7" w:rsidP="009C4EB7">
      <w:r>
        <w:t>Perhaps for objects, private contents also only need to be created, when one of its friend commands is run.</w:t>
      </w:r>
    </w:p>
    <w:p w14:paraId="55A0E014" w14:textId="77777777" w:rsidR="009C4EB7" w:rsidRDefault="009C4EB7" w:rsidP="009C4EB7">
      <w:r>
        <w:t xml:space="preserve">&gt; </w:t>
      </w:r>
      <w:r>
        <w:br/>
        <w:t>But this is such an influential implication, that it needs to be covered elsewhere. Privates only make sense, when only a selection of commands, can access those privates.</w:t>
      </w:r>
      <w:r>
        <w:br/>
        <w:t>So only when an object’s friend command is executed, the object’s private contents are needed.</w:t>
      </w:r>
      <w:r>
        <w:br/>
        <w:t>But a sub-object’s system commands can also access privates…</w:t>
      </w:r>
    </w:p>
    <w:p w14:paraId="17C153DB" w14:textId="77777777" w:rsidR="009C4EB7" w:rsidRDefault="009C4EB7" w:rsidP="009C4EB7"/>
    <w:p w14:paraId="6EBAC44F" w14:textId="77777777" w:rsidR="009C4EB7" w:rsidRDefault="009C4EB7" w:rsidP="009C4EB7">
      <w:r>
        <w:t>JJ</w:t>
      </w:r>
    </w:p>
    <w:p w14:paraId="6353DAB7" w14:textId="77777777" w:rsidR="003F3FAF" w:rsidRDefault="003F3FAF" w:rsidP="003F3FAF">
      <w:pPr>
        <w:pStyle w:val="Heading4"/>
      </w:pPr>
      <w:bookmarkStart w:id="5" w:name="_Hlk40994337"/>
      <w:r>
        <w:t>Access Symbols And Accesses</w:t>
      </w:r>
      <w:bookmarkEnd w:id="5"/>
    </w:p>
    <w:p w14:paraId="22FA99BD" w14:textId="77777777" w:rsidR="003F3FAF" w:rsidRDefault="003F3FAF" w:rsidP="003F3FAF">
      <w:r>
        <w:t>&lt; Just find an appropriate time to mention that each access symbol represents an access, but that it’s also used to denote direction, simply because direction can be read from it &gt;</w:t>
      </w:r>
    </w:p>
    <w:p w14:paraId="02E8B9C9" w14:textId="77777777" w:rsidR="003F3FAF" w:rsidRDefault="003F3FAF" w:rsidP="003F3FAF"/>
    <w:p w14:paraId="352C0A7E" w14:textId="77777777" w:rsidR="003F3FAF" w:rsidRDefault="003F3FAF" w:rsidP="003F3FAF">
      <w:r>
        <w:t>2009-06-28</w:t>
      </w:r>
    </w:p>
    <w:p w14:paraId="759B5FA3" w14:textId="77777777" w:rsidR="003F3FAF" w:rsidRDefault="003F3FAF" w:rsidP="003F3FAF"/>
    <w:p w14:paraId="64B0D537" w14:textId="77777777" w:rsidR="003F3FAF" w:rsidRDefault="003F3FAF" w:rsidP="003F3FAF">
      <w:r>
        <w:t>It was realized too little, that each line crossing</w:t>
      </w:r>
    </w:p>
    <w:p w14:paraId="6EF0997C" w14:textId="77777777" w:rsidR="003F3FAF" w:rsidRDefault="003F3FAF" w:rsidP="003F3FAF">
      <w:r>
        <w:t>is an access...</w:t>
      </w:r>
    </w:p>
    <w:p w14:paraId="1F3D2994" w14:textId="77777777" w:rsidR="003F3FAF" w:rsidRDefault="003F3FAF" w:rsidP="003F3FAF"/>
    <w:p w14:paraId="0870CC3D" w14:textId="77777777" w:rsidR="003F3FAF" w:rsidRDefault="003F3FAF" w:rsidP="003F3FAF">
      <w:r>
        <w:t>but in the automatic containment setting it is not.</w:t>
      </w:r>
    </w:p>
    <w:p w14:paraId="6A57FFD9" w14:textId="77777777" w:rsidR="003F3FAF" w:rsidRDefault="003F3FAF" w:rsidP="003F3FAF">
      <w:r>
        <w:t>The crossings of imaginary reference lines are not accesses.</w:t>
      </w:r>
    </w:p>
    <w:p w14:paraId="4CFF10CE" w14:textId="77777777" w:rsidR="003F3FAF" w:rsidRDefault="003F3FAF" w:rsidP="003F3FAF">
      <w:r>
        <w:t>The crossings of lines going from the imaginary reference to</w:t>
      </w:r>
    </w:p>
    <w:p w14:paraId="70349B08" w14:textId="77777777" w:rsidR="003F3FAF" w:rsidRDefault="003F3FAF" w:rsidP="003F3FAF">
      <w:r>
        <w:t>the logical residence... I am not sure if those are active accesses.</w:t>
      </w:r>
    </w:p>
    <w:p w14:paraId="2D2C66D6" w14:textId="77777777" w:rsidR="003F3FAF" w:rsidRDefault="003F3FAF" w:rsidP="003F3FAF">
      <w:r>
        <w:t>They could be.</w:t>
      </w:r>
    </w:p>
    <w:p w14:paraId="1B71ECFF" w14:textId="77777777" w:rsidR="003F3FAF" w:rsidRDefault="003F3FAF" w:rsidP="003F3FAF">
      <w:r>
        <w:t>But this is more like an implementation detail....</w:t>
      </w:r>
    </w:p>
    <w:p w14:paraId="7C9DB086" w14:textId="77777777" w:rsidR="003F3FAF" w:rsidRDefault="003F3FAF" w:rsidP="003F3FAF">
      <w:r>
        <w:t>Not important enough.</w:t>
      </w:r>
    </w:p>
    <w:p w14:paraId="488A063B" w14:textId="77777777" w:rsidR="003F3FAF" w:rsidRDefault="003F3FAF" w:rsidP="003F3FAF"/>
    <w:p w14:paraId="721DE185" w14:textId="77777777" w:rsidR="003F3FAF" w:rsidRDefault="003F3FAF" w:rsidP="003F3FAF">
      <w:r>
        <w:t>JJ</w:t>
      </w:r>
    </w:p>
    <w:p w14:paraId="7F618E38" w14:textId="77777777" w:rsidR="003F3FAF" w:rsidRDefault="003F3FAF" w:rsidP="003F3FAF"/>
    <w:p w14:paraId="5C99F18E" w14:textId="77777777" w:rsidR="003F3FAF" w:rsidRDefault="003F3FAF" w:rsidP="003F3FAF">
      <w:r>
        <w:t>Maybe it's a good rule to only show access symbols to denote:</w:t>
      </w:r>
    </w:p>
    <w:p w14:paraId="18D4AE21" w14:textId="77777777" w:rsidR="003F3FAF" w:rsidRDefault="003F3FAF" w:rsidP="003F3FAF"/>
    <w:p w14:paraId="3228DDCA" w14:textId="77777777" w:rsidR="003F3FAF" w:rsidRDefault="003F3FAF" w:rsidP="003F3FAF">
      <w:r>
        <w:t>- Direction</w:t>
      </w:r>
    </w:p>
    <w:p w14:paraId="64D151E4" w14:textId="77777777" w:rsidR="003F3FAF" w:rsidRDefault="003F3FAF" w:rsidP="003F3FAF">
      <w:r>
        <w:t>- Exclusion of a procedure</w:t>
      </w:r>
    </w:p>
    <w:p w14:paraId="4D3F8AEB" w14:textId="77777777" w:rsidR="003F3FAF" w:rsidRDefault="003F3FAF" w:rsidP="003F3FAF">
      <w:r>
        <w:t>- Denote explicitly the publicity</w:t>
      </w:r>
    </w:p>
    <w:p w14:paraId="19C13336" w14:textId="77777777" w:rsidR="003F3FAF" w:rsidRPr="0012291A" w:rsidRDefault="003F3FAF" w:rsidP="003F3FAF"/>
    <w:p w14:paraId="23D6704B" w14:textId="77777777" w:rsidR="003F3FAF" w:rsidRDefault="003F3FAF" w:rsidP="003F3FAF"/>
    <w:p w14:paraId="749EA045" w14:textId="77777777" w:rsidR="003F3FAF" w:rsidRDefault="003F3FAF" w:rsidP="003F3FAF">
      <w:r>
        <w:t>2009-06-28</w:t>
      </w:r>
    </w:p>
    <w:p w14:paraId="04776BA9" w14:textId="77777777" w:rsidR="003F3FAF" w:rsidRDefault="003F3FAF" w:rsidP="003F3FAF">
      <w:r>
        <w:t>- Each line that is crossed is a separate access.</w:t>
      </w:r>
    </w:p>
    <w:p w14:paraId="7469D7C8" w14:textId="77777777" w:rsidR="003F3FAF" w:rsidRDefault="003F3FAF" w:rsidP="003F3FAF">
      <w:r>
        <w:t xml:space="preserve">  That is probably why I wanted to have those extra ticks in expressing</w:t>
      </w:r>
    </w:p>
    <w:p w14:paraId="1B880600" w14:textId="77777777" w:rsidR="003F3FAF" w:rsidRDefault="003F3FAF" w:rsidP="003F3FAF">
      <w:r>
        <w:t xml:space="preserve">  access modifiers, but access modifiers and actual connections</w:t>
      </w:r>
    </w:p>
    <w:p w14:paraId="4C5AE8AB" w14:textId="77777777" w:rsidR="003F3FAF" w:rsidRDefault="003F3FAF" w:rsidP="003F3FAF">
      <w:r>
        <w:t xml:space="preserve">  are two different things. So the syntax of those two things is a different deal.</w:t>
      </w:r>
    </w:p>
    <w:p w14:paraId="569CCA93" w14:textId="77777777" w:rsidR="003F3FAF" w:rsidRDefault="003F3FAF" w:rsidP="003F3FAF">
      <w:r>
        <w:t xml:space="preserve">  Whatever</w:t>
      </w:r>
    </w:p>
    <w:p w14:paraId="58145D2A" w14:textId="77777777" w:rsidR="003F3FAF" w:rsidRDefault="003F3FAF" w:rsidP="003F3FAF">
      <w:r>
        <w:t xml:space="preserve">  </w:t>
      </w:r>
    </w:p>
    <w:p w14:paraId="20470673" w14:textId="77777777" w:rsidR="003F3FAF" w:rsidRPr="00EB232A" w:rsidRDefault="003F3FAF" w:rsidP="003F3FAF">
      <w:r>
        <w:t>JJ</w:t>
      </w:r>
    </w:p>
    <w:p w14:paraId="5FCF3CB9" w14:textId="77777777" w:rsidR="003F3FAF" w:rsidRDefault="003F3FAF" w:rsidP="003F3FAF">
      <w:pPr>
        <w:pStyle w:val="Heading4"/>
      </w:pPr>
      <w:bookmarkStart w:id="6" w:name="_Hlk40994445"/>
      <w:r>
        <w:t>Access Controller Parts</w:t>
      </w:r>
      <w:bookmarkEnd w:id="6"/>
    </w:p>
    <w:p w14:paraId="2C5961F8" w14:textId="77777777" w:rsidR="003F3FAF" w:rsidRDefault="003F3FAF" w:rsidP="003F3FAF">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14:paraId="7C103BFC" w14:textId="77777777" w:rsidR="003F3FAF" w:rsidRDefault="003F3FAF" w:rsidP="003F3FAF"/>
    <w:p w14:paraId="15DA2B09" w14:textId="77777777" w:rsidR="003F3FAF" w:rsidRPr="00085490" w:rsidRDefault="003F3FAF" w:rsidP="003F3FAF">
      <w:pPr>
        <w:numPr>
          <w:ilvl w:val="0"/>
          <w:numId w:val="11"/>
        </w:numPr>
        <w:jc w:val="both"/>
      </w:pPr>
      <w:r w:rsidRPr="00085490">
        <w:rPr>
          <w:color w:val="99CCFF"/>
        </w:rPr>
        <w:t>Protected</w:t>
      </w:r>
      <w:r>
        <w:t xml:space="preserve"> </w:t>
      </w:r>
      <w:r>
        <w:rPr>
          <w:color w:val="DBCCBD"/>
        </w:rPr>
        <w:t xml:space="preserve">Up 1 </w:t>
      </w:r>
      <w:r>
        <w:rPr>
          <w:color w:val="DCDBBE"/>
        </w:rPr>
        <w:t>Globality Up 2</w:t>
      </w:r>
    </w:p>
    <w:p w14:paraId="6DB1AEBD" w14:textId="77777777" w:rsidR="003F3FAF" w:rsidRDefault="003F3FAF" w:rsidP="003F3FAF">
      <w:pPr>
        <w:ind w:left="852"/>
        <w:jc w:val="both"/>
        <w:rPr>
          <w:color w:val="99CCFF"/>
        </w:rPr>
      </w:pPr>
    </w:p>
    <w:p w14:paraId="54898AE2" w14:textId="77777777" w:rsidR="003F3FAF" w:rsidRDefault="003F3FAF" w:rsidP="003F3FAF">
      <w:r>
        <w:t xml:space="preserve">Access controllers as such are not usual, though and </w:t>
      </w:r>
      <w:r>
        <w:rPr>
          <w:i/>
          <w:iCs/>
        </w:rPr>
        <w:t>if</w:t>
      </w:r>
      <w:r>
        <w:t xml:space="preserve"> you use them, they’re not very diverse.</w:t>
      </w:r>
    </w:p>
    <w:p w14:paraId="3BA1F49E" w14:textId="77777777" w:rsidR="003F3FAF" w:rsidRDefault="003F3FAF" w:rsidP="003F3FAF"/>
    <w:p w14:paraId="4F32162F" w14:textId="77777777" w:rsidR="003F3FAF" w:rsidRDefault="003F3FAF" w:rsidP="003F3FAF">
      <w:pPr>
        <w:ind w:left="770" w:hanging="203"/>
      </w:pPr>
      <w:r>
        <w:t>&gt; 2009-06-29: So basically this brainstorm item is about how an access controller can consist of different elements: each aspect is represented only once.</w:t>
      </w:r>
    </w:p>
    <w:p w14:paraId="4F89D92C" w14:textId="77777777" w:rsidR="003F3FAF" w:rsidRDefault="003F3FAF" w:rsidP="003F3FAF">
      <w:pPr>
        <w:pStyle w:val="Heading4"/>
      </w:pPr>
      <w:bookmarkStart w:id="7" w:name="_Hlk40994795"/>
      <w:r>
        <w:t>Uses of Access Controlling System Aspects</w:t>
      </w:r>
      <w:bookmarkEnd w:id="7"/>
    </w:p>
    <w:p w14:paraId="765D4D7D" w14:textId="77777777" w:rsidR="003F3FAF" w:rsidRDefault="003F3FAF" w:rsidP="003F3FAF">
      <w:r>
        <w:t xml:space="preserve">An object symbol’s Object Get procedure must be accessible to make you able to access its sub-object. </w:t>
      </w:r>
    </w:p>
    <w:p w14:paraId="7472B2D0" w14:textId="77777777" w:rsidR="003F3FAF" w:rsidRDefault="003F3FAF" w:rsidP="003F3FAF">
      <w:pPr>
        <w:pStyle w:val="Spacing"/>
      </w:pPr>
    </w:p>
    <w:p w14:paraId="6F42BFE2" w14:textId="77777777" w:rsidR="003F3FAF" w:rsidRDefault="003F3FAF" w:rsidP="003F3FAF">
      <w:r>
        <w:t>Exclusion of Set procedures controls who can set a symbol’s lines. Exclusion of Get procedures controls who can get information about lines or who can access the object.</w:t>
      </w:r>
    </w:p>
    <w:p w14:paraId="6EC837B6" w14:textId="77777777" w:rsidR="003F3FAF" w:rsidRDefault="003F3FAF" w:rsidP="003F3FAF">
      <w:pPr>
        <w:ind w:left="852"/>
      </w:pPr>
      <w:r>
        <w:t>&gt; 2009-07-06: Or who can use the object as line source.</w:t>
      </w:r>
    </w:p>
    <w:p w14:paraId="120E2FA4" w14:textId="77777777" w:rsidR="003F3FAF" w:rsidRDefault="003F3FAF" w:rsidP="003F3FAF">
      <w:pPr>
        <w:pStyle w:val="Heading4"/>
      </w:pPr>
      <w:bookmarkStart w:id="8" w:name="_Hlk40994877"/>
      <w:r>
        <w:t>Other Details</w:t>
      </w:r>
      <w:bookmarkEnd w:id="8"/>
    </w:p>
    <w:p w14:paraId="4546570F" w14:textId="77777777" w:rsidR="003F3FAF" w:rsidRDefault="003F3FAF" w:rsidP="003F3FAF">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14:paraId="3686A1EF" w14:textId="77777777" w:rsidR="003F3FAF" w:rsidRDefault="003F3FAF" w:rsidP="003F3FAF"/>
    <w:p w14:paraId="65FF0C3D" w14:textId="77777777" w:rsidR="003F3FAF" w:rsidRDefault="003F3FAF" w:rsidP="003F3FAF">
      <w:r>
        <w:t>&lt; A procedure’s primary access controller is only made Inaccessible to ‘</w:t>
      </w:r>
      <w:proofErr w:type="spellStart"/>
      <w:r>
        <w:t>outcomment</w:t>
      </w:r>
      <w:proofErr w:type="spellEnd"/>
      <w:r>
        <w: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14:paraId="048565C4" w14:textId="77777777" w:rsidR="003F3FAF" w:rsidRDefault="003F3FAF" w:rsidP="003F3FAF"/>
    <w:p w14:paraId="0C9DCF5F" w14:textId="77777777" w:rsidR="003F3FAF" w:rsidRDefault="003F3FAF" w:rsidP="003F3FAF">
      <w:pPr>
        <w:ind w:left="784" w:hanging="217"/>
      </w:pPr>
      <w:r>
        <w:t>&gt; 2009-06-26: I do not even know what I mean by this:</w:t>
      </w:r>
    </w:p>
    <w:p w14:paraId="1D2927B6" w14:textId="77777777" w:rsidR="003F3FAF" w:rsidRDefault="003F3FAF" w:rsidP="003F3FAF">
      <w:r>
        <w:t>You will not be able to totally make clear what</w:t>
      </w:r>
    </w:p>
    <w:p w14:paraId="4EE52D6F" w14:textId="77777777" w:rsidR="003F3FAF" w:rsidRDefault="003F3FAF" w:rsidP="003F3FAF">
      <w:r>
        <w:t>private and friend means in this context,</w:t>
      </w:r>
    </w:p>
    <w:p w14:paraId="490CDDA1" w14:textId="77777777" w:rsidR="003F3FAF" w:rsidRDefault="003F3FAF" w:rsidP="003F3FAF">
      <w:r>
        <w:t>but you can just use the term command anyway,</w:t>
      </w:r>
    </w:p>
    <w:p w14:paraId="0D9F4F52" w14:textId="77777777" w:rsidR="003F3FAF" w:rsidRDefault="003F3FAF" w:rsidP="003F3FAF">
      <w:r>
        <w:t>to make it clear.</w:t>
      </w:r>
    </w:p>
    <w:p w14:paraId="33B2AA7F" w14:textId="77777777" w:rsidR="003F3FAF" w:rsidRDefault="003F3FAF" w:rsidP="003F3FAF"/>
    <w:p w14:paraId="68439C55" w14:textId="77777777" w:rsidR="003F3FAF" w:rsidRDefault="003F3FAF" w:rsidP="003F3FAF"/>
    <w:p w14:paraId="04D14CB0" w14:textId="77777777" w:rsidR="003F3FAF" w:rsidRDefault="003F3FAF" w:rsidP="003F3FAF">
      <w:r>
        <w:t>&lt; The word access modification can actually be replaced by ‘exclusion’ in many places, but not everywhere by far. &gt;</w:t>
      </w:r>
    </w:p>
    <w:p w14:paraId="6C77AD50" w14:textId="77777777" w:rsidR="003F3FAF" w:rsidRDefault="003F3FAF" w:rsidP="003F3FAF"/>
    <w:p w14:paraId="4640CACD" w14:textId="77777777" w:rsidR="003F3FAF" w:rsidRDefault="003F3FAF" w:rsidP="003F3FAF">
      <w:r>
        <w:t>Detail:</w:t>
      </w:r>
    </w:p>
    <w:p w14:paraId="3EB0F450" w14:textId="77777777" w:rsidR="003F3FAF" w:rsidRDefault="003F3FAF" w:rsidP="003F3FAF">
      <w:r w:rsidRPr="00CC286C">
        <w:t xml:space="preserve">The symbols used here are </w:t>
      </w:r>
      <w:proofErr w:type="spellStart"/>
      <w:r w:rsidRPr="00CC286C">
        <w:t>actualy</w:t>
      </w:r>
      <w:proofErr w:type="spellEnd"/>
      <w:r w:rsidRPr="00CC286C">
        <w:t xml:space="preserve"> access symbols, which I’ve already introduced. Access symbols can denote direction, and they also denote where access takes place, but they’re also used to denote access control.</w:t>
      </w:r>
    </w:p>
    <w:p w14:paraId="259972BC" w14:textId="77777777" w:rsidR="003F3FAF" w:rsidRDefault="003F3FAF" w:rsidP="003F3FAF"/>
    <w:p w14:paraId="0AD36FB1" w14:textId="77777777" w:rsidR="003F3FAF" w:rsidRDefault="003F3FAF" w:rsidP="003F3FAF">
      <w:r>
        <w:t>Interesting Applications of Exclusion</w:t>
      </w:r>
    </w:p>
    <w:p w14:paraId="6C708129" w14:textId="77777777" w:rsidR="003F3FAF" w:rsidRDefault="003F3FAF" w:rsidP="003F3FAF">
      <w:r>
        <w:t>So examples of interesting applications of exclusion are:</w:t>
      </w:r>
    </w:p>
    <w:p w14:paraId="3317F403" w14:textId="77777777" w:rsidR="003F3FAF" w:rsidRDefault="003F3FAF" w:rsidP="003F3FAF">
      <w:pPr>
        <w:ind w:left="1082"/>
      </w:pPr>
    </w:p>
    <w:p w14:paraId="38F8E325" w14:textId="77777777" w:rsidR="003F3FAF" w:rsidRDefault="003F3FAF" w:rsidP="003F3FAF">
      <w:pPr>
        <w:numPr>
          <w:ilvl w:val="0"/>
          <w:numId w:val="11"/>
        </w:numPr>
        <w:tabs>
          <w:tab w:val="clear" w:pos="1212"/>
          <w:tab w:val="num" w:pos="1235"/>
        </w:tabs>
        <w:ind w:left="1235"/>
        <w:jc w:val="both"/>
      </w:pPr>
      <w:r>
        <w:t>Making procedures Public or Private</w:t>
      </w:r>
    </w:p>
    <w:p w14:paraId="3F2EC3EE" w14:textId="77777777" w:rsidR="003F3FAF" w:rsidRDefault="003F3FAF" w:rsidP="003F3FAF">
      <w:pPr>
        <w:numPr>
          <w:ilvl w:val="0"/>
          <w:numId w:val="11"/>
        </w:numPr>
        <w:tabs>
          <w:tab w:val="clear" w:pos="1212"/>
          <w:tab w:val="num" w:pos="1235"/>
        </w:tabs>
        <w:ind w:left="1235"/>
        <w:jc w:val="both"/>
      </w:pPr>
      <w:r>
        <w:t>Excluding procedures of a public object</w:t>
      </w:r>
    </w:p>
    <w:p w14:paraId="001F51DD" w14:textId="77777777" w:rsidR="003F3FAF" w:rsidRDefault="003F3FAF" w:rsidP="003F3FAF">
      <w:pPr>
        <w:numPr>
          <w:ilvl w:val="0"/>
          <w:numId w:val="11"/>
        </w:numPr>
        <w:tabs>
          <w:tab w:val="clear" w:pos="1212"/>
          <w:tab w:val="num" w:pos="1235"/>
        </w:tabs>
        <w:ind w:left="1235"/>
        <w:jc w:val="both"/>
      </w:pPr>
      <w:r>
        <w:t>Excluding procedures of a base object</w:t>
      </w:r>
    </w:p>
    <w:p w14:paraId="4C943AF0" w14:textId="77777777" w:rsidR="003F3FAF" w:rsidRDefault="003F3FAF" w:rsidP="003F3FAF">
      <w:pPr>
        <w:numPr>
          <w:ilvl w:val="0"/>
          <w:numId w:val="11"/>
        </w:numPr>
        <w:tabs>
          <w:tab w:val="clear" w:pos="1212"/>
          <w:tab w:val="num" w:pos="1235"/>
        </w:tabs>
        <w:ind w:left="1235"/>
        <w:jc w:val="both"/>
      </w:pPr>
      <w:r>
        <w:t xml:space="preserve">A parent’s controlling </w:t>
      </w:r>
      <w:r>
        <w:rPr>
          <w:i/>
          <w:iCs/>
        </w:rPr>
        <w:t>access to objects</w:t>
      </w:r>
    </w:p>
    <w:p w14:paraId="6DA5F71B" w14:textId="77777777" w:rsidR="003F3FAF" w:rsidRDefault="003F3FAF" w:rsidP="003F3FAF">
      <w:pPr>
        <w:ind w:left="784" w:hanging="217"/>
      </w:pPr>
    </w:p>
    <w:p w14:paraId="1305C0F2" w14:textId="77777777" w:rsidR="003F3FAF" w:rsidRDefault="003F3FAF" w:rsidP="003F3FAF">
      <w:pPr>
        <w:ind w:left="784" w:hanging="217"/>
      </w:pPr>
    </w:p>
    <w:p w14:paraId="5EC7BA63" w14:textId="77777777" w:rsidR="003F3FAF" w:rsidRDefault="003F3FAF" w:rsidP="003F3FAF"/>
    <w:p w14:paraId="2F4643D4" w14:textId="77777777" w:rsidR="003F3FAF" w:rsidRDefault="003F3FAF" w:rsidP="003F3FAF">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p w14:paraId="35A4EA04" w14:textId="77777777" w:rsidR="003F3FAF" w:rsidRDefault="003F3FAF" w:rsidP="003F3FAF"/>
    <w:p w14:paraId="070831DC" w14:textId="77777777" w:rsidR="00403C60" w:rsidRPr="00403C60" w:rsidRDefault="00403C60" w:rsidP="00403C60">
      <w:bookmarkStart w:id="9" w:name="_GoBack"/>
      <w:bookmarkEnd w:id="9"/>
    </w:p>
    <w:sectPr w:rsidR="00403C60" w:rsidRPr="00403C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3F3FAF"/>
    <w:rsid w:val="00403C60"/>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ABE"/>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595"/>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0EAB"/>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07EE6"/>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4EB7"/>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3A93"/>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8B"/>
    <w:rsid w:val="00FB1CF8"/>
    <w:rsid w:val="00FB4AC0"/>
    <w:rsid w:val="00FB5521"/>
    <w:rsid w:val="00FB5A05"/>
    <w:rsid w:val="00FC0446"/>
    <w:rsid w:val="00FC54B1"/>
    <w:rsid w:val="00FC599D"/>
    <w:rsid w:val="00FC7BAA"/>
    <w:rsid w:val="00FD2BC8"/>
    <w:rsid w:val="00FD562E"/>
    <w:rsid w:val="00FE2398"/>
    <w:rsid w:val="00FE3195"/>
    <w:rsid w:val="00FE38DD"/>
    <w:rsid w:val="00FE555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84940"/>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29</cp:revision>
  <cp:lastPrinted>1899-12-31T23:00:00Z</cp:lastPrinted>
  <dcterms:created xsi:type="dcterms:W3CDTF">2020-05-20T20:52:00Z</dcterms:created>
  <dcterms:modified xsi:type="dcterms:W3CDTF">2020-05-21T21:32:00Z</dcterms:modified>
</cp:coreProperties>
</file>