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6" w:space="2"/>
        </w:pBdr>
        <w:spacing w:after="160"/>
      </w:pPr>
      <w:r>
        <w:rPr>
          <w:b/>
          <w:bCs/>
          <w:color w:val="1F4E78"/>
          <w:sz w:val="18"/>
          <w:szCs w:val="18"/>
        </w:rPr>
        <w:t xml:space="preserve">INTERNAL: All staff</w:t>
      </w:r>
    </w:p>
    <w:p>
      <w:pPr>
        <w:pStyle w:val="Heading1"/>
      </w:pPr>
      <w:r>
        <w:t xml:space="preserve">Investment Memo: Cedar Park 24</w:t>
      </w:r>
    </w:p>
    <w:p>
      <w:pPr>
        <w:spacing w:after="120"/>
      </w:pPr>
      <w:r>
        <w:rPr>
          <w:b/>
          <w:bCs/>
        </w:rPr>
        <w:t xml:space="preserve">Property: 24 Cedar Park Cir, Austin, TX 78745</w:t>
      </w:r>
    </w:p>
    <w:p>
      <w:pPr>
        <w:spacing w:after="120"/>
      </w:pPr>
      <w:r>
        <w:t xml:space="preserve">Prepared by: Acquisitions  |  Status: Pipeline  |  Date: February 2026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Cedar Park 24 is a 24-unit multifamily property in south Austin, listed at $4,100,000 with a target purchase price of $3,950,000. The asset is a value-add play: current rents sit roughly 12% below submarket on units that have not been renovated since 2018.</w:t>
      </w:r>
    </w:p>
    <w:p>
      <w:pPr>
        <w:pStyle w:val="Heading2"/>
      </w:pPr>
      <w:r>
        <w:t xml:space="preserve">Underwriting</w:t>
      </w:r>
    </w:p>
    <w:p>
      <w:pPr>
        <w:spacing w:after="120"/>
      </w:pPr>
      <w:r>
        <w:t xml:space="preserve">In-place NOI supports a projected $268,600 annual figure, an implied cap rate near 6.8% at the target price. Our value-add thesis models pushing NOI through a phased renovation of 16 of the 24 units over 18 months, with a stabilized cap rate target above 7.5%.</w:t>
      </w:r>
    </w:p>
    <w:p>
      <w:pPr>
        <w:spacing w:after="120"/>
      </w:pPr>
      <w:r>
        <w:t xml:space="preserve">Austin multifamily has softened on supply, so our rent-growth assumptions are deliberately conservative at 3% annually. Exit assumes a 5-year hold.</w:t>
      </w:r>
    </w:p>
    <w:p>
      <w:pPr>
        <w:pStyle w:val="Heading2"/>
      </w:pPr>
      <w:r>
        <w:t xml:space="preserve">Recommendation</w:t>
      </w:r>
    </w:p>
    <w:p>
      <w:pPr>
        <w:spacing w:after="120"/>
      </w:pPr>
      <w:r>
        <w:t xml:space="preserve">Proceed to full due diligence. The below-market rents and renovation upside justify the basis, and Austin remains a core long-term market for the fund.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2026-06-24T03:58:30.759Z</dcterms:created>
  <dcterms:modified xsi:type="dcterms:W3CDTF">2026-06-24T03:58:30.759Z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