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8" w:sz="6" w:space="2"/>
        </w:pBdr>
        <w:spacing w:after="160"/>
      </w:pPr>
      <w:r>
        <w:rPr>
          <w:b/>
          <w:bCs/>
          <w:color w:val="1F4E78"/>
          <w:sz w:val="18"/>
          <w:szCs w:val="18"/>
        </w:rPr>
        <w:t xml:space="preserve">INTERNAL: All staff</w:t>
      </w:r>
    </w:p>
    <w:p>
      <w:pPr>
        <w:pStyle w:val="Heading1"/>
      </w:pPr>
      <w:r>
        <w:t xml:space="preserve">Investment Memo: Harbor View</w:t>
      </w:r>
    </w:p>
    <w:p>
      <w:pPr>
        <w:spacing w:after="120"/>
      </w:pPr>
      <w:r>
        <w:rPr>
          <w:b/>
          <w:bCs/>
        </w:rPr>
        <w:t xml:space="preserve">Property: 3 Harbor View Rd, Charleston, SC 29401</w:t>
      </w:r>
    </w:p>
    <w:p>
      <w:pPr>
        <w:spacing w:after="120"/>
      </w:pPr>
      <w:r>
        <w:t xml:space="preserve">Prepared by: Acquisitions  |  Status: Pipeline  |  Date: March 2026</w:t>
      </w:r>
    </w:p>
    <w:p>
      <w:pPr>
        <w:pStyle w:val="Heading2"/>
      </w:pPr>
      <w:r>
        <w:t xml:space="preserve">Summary</w:t>
      </w:r>
    </w:p>
    <w:p>
      <w:pPr>
        <w:spacing w:after="120"/>
      </w:pPr>
      <w:r>
        <w:t xml:space="preserve">Harbor View is a 4-bed, 3.5-bath single-family short-term rental in downtown Charleston, listed at $899,000. We are targeting a purchase price of $880,000. The property sits two blocks from the historic district waterfront, a high-demand STR submarket with strong year-round occupancy.</w:t>
      </w:r>
    </w:p>
    <w:p>
      <w:pPr>
        <w:pStyle w:val="Heading2"/>
      </w:pPr>
      <w:r>
        <w:t xml:space="preserve">Underwriting</w:t>
      </w:r>
    </w:p>
    <w:p>
      <w:pPr>
        <w:spacing w:after="120"/>
      </w:pPr>
      <w:r>
        <w:t xml:space="preserve">Projected annual NOI is $70,400 against the target purchase price, an implied cap rate of approximately 8.0%. This is consistent with our owned Charleston-adjacent comps. Debt has not yet been sized; we expect a 70% LTV acquisition loan, which would put projected DSCR above our 1.25 minimum at current rates.</w:t>
      </w:r>
    </w:p>
    <w:p>
      <w:pPr>
        <w:spacing w:after="120"/>
      </w:pPr>
      <w:r>
        <w:t xml:space="preserve">Key risks: Charleston STR permitting has tightened, and we must confirm the unit's existing permit transfers on sale. Hurricane-season insurance cost is a swing factor in the operating model.</w:t>
      </w:r>
    </w:p>
    <w:p>
      <w:pPr>
        <w:pStyle w:val="Heading2"/>
      </w:pPr>
      <w:r>
        <w:t xml:space="preserve">Recommendation</w:t>
      </w:r>
    </w:p>
    <w:p>
      <w:pPr>
        <w:spacing w:after="120"/>
      </w:pPr>
      <w:r>
        <w:t xml:space="preserve">Advance to LOI subject to permit verification and an insurance quote. This deal fits our STR buy-box on size, submarket, and projected yield.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2026-06-24T03:58:30.702Z</dcterms:created>
  <dcterms:modified xsi:type="dcterms:W3CDTF">2026-06-24T03:58:30.714Z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