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00000" w:sz="6" w:space="2"/>
        </w:pBdr>
        <w:spacing w:after="160"/>
      </w:pPr>
      <w:r>
        <w:rPr>
          <w:b/>
          <w:bCs/>
          <w:color w:val="C00000"/>
          <w:sz w:val="18"/>
          <w:szCs w:val="18"/>
        </w:rPr>
        <w:t xml:space="preserve">RESTRICTED: EXECUTIVE ONLY. Confidential investor agreement.</w:t>
      </w:r>
    </w:p>
    <w:p>
      <w:pPr>
        <w:pStyle w:val="Heading1"/>
      </w:pPr>
      <w:r>
        <w:t xml:space="preserve">Side Letter: Tamarind Family Office</w:t>
      </w:r>
    </w:p>
    <w:p>
      <w:pPr>
        <w:spacing w:after="120"/>
      </w:pPr>
      <w:r>
        <w:rPr>
          <w:b/>
          <w:bCs/>
        </w:rPr>
        <w:t xml:space="preserve">Cardinal Peak Capital  |  Confidential</w:t>
      </w:r>
    </w:p>
    <w:p>
      <w:pPr>
        <w:pStyle w:val="Heading2"/>
      </w:pPr>
      <w:r>
        <w:t xml:space="preserve">Terms</w:t>
      </w:r>
    </w:p>
    <w:p>
      <w:pPr>
        <w:spacing w:after="120"/>
      </w:pPr>
      <w:r>
        <w:t xml:space="preserve">This side letter supplements the partnership agreement between Cardinal Peak Capital ("GP") and Tamarind Family Office ("LP") with respect to the LP's investments in the Birch Court and Crestline Flats assets.</w:t>
      </w:r>
    </w:p>
    <w:p>
      <w:pPr>
        <w:spacing w:after="120"/>
      </w:pPr>
      <w:r>
        <w:t xml:space="preserve">1. Preferred return: The LP is entitled to an 8% preferred annual return before the GP participates in any carried interest on these two assets.</w:t>
      </w:r>
    </w:p>
    <w:p>
      <w:pPr>
        <w:spacing w:after="120"/>
      </w:pPr>
      <w:r>
        <w:t xml:space="preserve">2. Reporting: The GP shall provide the LP with property-level financials monthly, ahead of the standard quarterly LP cadence.</w:t>
      </w:r>
    </w:p>
    <w:p>
      <w:pPr>
        <w:spacing w:after="120"/>
      </w:pPr>
      <w:r>
        <w:t xml:space="preserve">3. Co-investment right: The LP holds a right of first offer on up to 25% of any new multifamily acquisition above $3,000,000 for the term of the fund.</w:t>
      </w:r>
    </w:p>
    <w:p>
      <w:pPr>
        <w:spacing w:after="120"/>
      </w:pPr>
      <w:r>
        <w:t xml:space="preserve">4. Fee discount: The LP's management fee is reduced to 1.5% from the standard 2.0% in recognition of its anchor commitment.</w:t>
      </w:r>
    </w:p>
    <w:p>
      <w:pPr>
        <w:spacing w:after="120"/>
      </w:pPr>
      <w:r>
        <w:t xml:space="preserve">This agreement and its terms are confidential to the GP principals and the named LP.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30"/>
      <w:szCs w:val="30"/>
    </w:rPr>
  </w:style>
  <w:style w:type="paragraph" w:styleId="Heading2">
    <w:name w:val="Heading 2"/>
    <w:basedOn w:val="Normal"/>
    <w:next w:val="Normal"/>
    <w:qFormat/>
    <w:pPr>
      <w:spacing w:after="12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2026-06-24T03:58:30.805Z</dcterms:created>
  <dcterms:modified xsi:type="dcterms:W3CDTF">2026-06-24T03:58:30.805Z</dcterms:modified>
</cp:coreProperties>
</file>

<file path=docProps/custom.xml><?xml version="1.0" encoding="utf-8"?>
<Properties xmlns="http://schemas.openxmlformats.org/officeDocument/2006/custom-properties" xmlns:vt="http://schemas.openxmlformats.org/officeDocument/2006/docPropsVTypes"/>
</file>