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00000" w:sz="6" w:space="2"/>
        </w:pBdr>
        <w:spacing w:after="160"/>
      </w:pPr>
      <w:r>
        <w:rPr>
          <w:b/>
          <w:bCs/>
          <w:color w:val="C00000"/>
          <w:sz w:val="18"/>
          <w:szCs w:val="18"/>
        </w:rPr>
        <w:t xml:space="preserve">RESTRICTED: EXECUTIVE ONLY. Contains investor identities and capital data.</w:t>
      </w:r>
    </w:p>
    <w:p>
      <w:pPr>
        <w:pStyle w:val="Heading1"/>
      </w:pPr>
      <w:r>
        <w:t xml:space="preserve">LP Quarterly Update: Q1 2026</w:t>
      </w:r>
    </w:p>
    <w:p>
      <w:pPr>
        <w:spacing w:after="120"/>
      </w:pPr>
      <w:r>
        <w:rPr>
          <w:b/>
          <w:bCs/>
        </w:rPr>
        <w:t xml:space="preserve">Cardinal Peak Capital  |  Confidential. Limited Partners &amp; Principals only.</w:t>
      </w:r>
    </w:p>
    <w:p>
      <w:pPr>
        <w:pStyle w:val="Heading2"/>
      </w:pPr>
      <w:r>
        <w:t xml:space="preserve">Portfolio performance</w:t>
      </w:r>
    </w:p>
    <w:p>
      <w:pPr>
        <w:spacing w:after="120"/>
      </w:pPr>
      <w:r>
        <w:t xml:space="preserve">The owned portfolio generated blended trailing occupancy of 80% across STR assets and 94% across multifamily in Q1. Total distributions paid this quarter were $57,400 across all LPs.</w:t>
      </w:r>
    </w:p>
    <w:p>
      <w:pPr>
        <w:pStyle w:val="Heading2"/>
      </w:pPr>
      <w:r>
        <w:t xml:space="preserve">Distributions by investor</w:t>
      </w:r>
    </w:p>
    <w:p>
      <w:pPr>
        <w:spacing w:after="120"/>
      </w:pPr>
      <w:r>
        <w:t xml:space="preserve">Tamarind Family Office received $21,000 across its Birch Court and Crestline Flats positions. Greenfield Partners LLC received $10,400 across Birch Court and Maple Ridge. Summit Hollow Trust received $17,700 across Gulf Breeze and Crestline Flats. Blue Heron Capital received $5,600 on Gulf Breeze. R. Okafor received $2,700 on Sunset Bungalow.</w:t>
      </w:r>
    </w:p>
    <w:p>
      <w:pPr>
        <w:pStyle w:val="Heading2"/>
      </w:pPr>
      <w:r>
        <w:t xml:space="preserve">Capital commitments</w:t>
      </w:r>
    </w:p>
    <w:p>
      <w:pPr>
        <w:spacing w:after="120"/>
      </w:pPr>
      <w:r>
        <w:t xml:space="preserve">Total committed capital across the portfolio stands at $2,750,000. Tamarind Family Office remains our largest LP at $1,050,000 committed. No new commitments closed in Q1; the Cedar Park 24 acquisition will open a new capital raise in Q2 2026.</w:t>
      </w:r>
    </w:p>
    <w:p>
      <w:pPr>
        <w:spacing w:after="120"/>
      </w:pPr>
      <w:r>
        <w:t xml:space="preserve">This document contains confidential investor information and must not be shared with staff or external parties.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2026-06-24T03:58:30.790Z</dcterms:created>
  <dcterms:modified xsi:type="dcterms:W3CDTF">2026-06-24T03:58:30.790Z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