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8" w:sz="6" w:space="2"/>
        </w:pBdr>
        <w:spacing w:after="160"/>
      </w:pPr>
      <w:r>
        <w:rPr>
          <w:b/>
          <w:bCs/>
          <w:color w:val="1F4E78"/>
          <w:sz w:val="18"/>
          <w:szCs w:val="18"/>
        </w:rPr>
        <w:t xml:space="preserve">INTERNAL: All staff</w:t>
      </w:r>
    </w:p>
    <w:p>
      <w:pPr>
        <w:pStyle w:val="Heading1"/>
      </w:pPr>
      <w:r>
        <w:t xml:space="preserve">SOP: Guest Damage &amp; Incident Handling</w:t>
      </w:r>
    </w:p>
    <w:p>
      <w:pPr>
        <w:spacing w:after="120"/>
      </w:pPr>
      <w:r>
        <w:t xml:space="preserve">Applies to: all short-term rental properties  |  Owner: Operations  |  Last updated: January 2026</w:t>
      </w:r>
    </w:p>
    <w:p>
      <w:pPr>
        <w:pStyle w:val="Heading2"/>
      </w:pPr>
      <w:r>
        <w:t xml:space="preserve">Purpose</w:t>
      </w:r>
    </w:p>
    <w:p>
      <w:pPr>
        <w:spacing w:after="120"/>
      </w:pPr>
      <w:r>
        <w:t xml:space="preserve">This procedure defines how property managers document, report, and recover costs for guest-caused damage at STR properties.</w:t>
      </w:r>
    </w:p>
    <w:p>
      <w:pPr>
        <w:pStyle w:val="Heading2"/>
      </w:pPr>
      <w:r>
        <w:t xml:space="preserve">Procedure</w:t>
      </w:r>
    </w:p>
    <w:p>
      <w:pPr>
        <w:spacing w:after="120"/>
      </w:pPr>
      <w:r>
        <w:t xml:space="preserve">1. On turnover, the cleaning team photographs any damage and uploads images to the property's operations folder within 4 hours of checkout.</w:t>
      </w:r>
    </w:p>
    <w:p>
      <w:pPr>
        <w:spacing w:after="120"/>
      </w:pPr>
      <w:r>
        <w:t xml:space="preserve">2. The property manager assesses whether the damage exceeds the normal wear threshold of $75. Below that, it is absorbed as an operating cost.</w:t>
      </w:r>
    </w:p>
    <w:p>
      <w:pPr>
        <w:spacing w:after="120"/>
      </w:pPr>
      <w:r>
        <w:t xml:space="preserve">3. For damage above $75, the manager files a claim through the booking platform's resolution center within 48 hours, attaching photos and the repair estimate.</w:t>
      </w:r>
    </w:p>
    <w:p>
      <w:pPr>
        <w:spacing w:after="120"/>
      </w:pPr>
      <w:r>
        <w:t xml:space="preserve">4. If the platform claim is denied or insufficient, escalate to the operations lead, who decides whether to pursue the guest's security deposit or the platform's host guarantee.</w:t>
      </w:r>
    </w:p>
    <w:p>
      <w:pPr>
        <w:spacing w:after="120"/>
      </w:pPr>
      <w:r>
        <w:t xml:space="preserve">5. All incidents are logged in the maintenance tracker with property, date, cost, and resolution status, regardless of dollar amount.</w:t>
      </w:r>
    </w:p>
    <w:p>
      <w:pPr>
        <w:pStyle w:val="Heading2"/>
      </w:pPr>
      <w:r>
        <w:t xml:space="preserve">Turnaround target</w:t>
      </w:r>
    </w:p>
    <w:p>
      <w:pPr>
        <w:spacing w:after="120"/>
      </w:pPr>
      <w:r>
        <w:t xml:space="preserve">Damage that affects habitability (plumbing, HVAC, locks) must be remediated before the next check-in or the booking is relocated. Cosmetic damage is scheduled within 7 days.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2026-06-24T03:58:30.782Z</dcterms:created>
  <dcterms:modified xsi:type="dcterms:W3CDTF">2026-06-24T03:58:30.782Z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