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 xml:space="preserve">Tema 1 - Ecosistema digital</w:t>
      </w:r>
    </w:p>
    <w:p>
      <w:pPr>
        <w:pStyle w:val="Author"/>
      </w:pPr>
      <w:r>
        <w:t xml:space="preserve">Juan José Vázquez Rubio</w:t>
      </w:r>
    </w:p>
    <w:p>
      <w:pPr>
        <w:pStyle w:val="Date"/>
      </w:pPr>
      <w:r>
        <w:t xml:space="preserve">{{DATE}}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9" w:name="introducción-y-objetivos"/>
    <w:p>
      <w:pPr>
        <w:pStyle w:val="Heading1"/>
      </w:pPr>
      <w:r>
        <w:t xml:space="preserve">1.1. Introducción y objetivos</w:t>
      </w:r>
    </w:p>
    <w:p>
      <w:pPr>
        <w:pStyle w:val="FirstParagraph"/>
      </w:pPr>
      <w:r>
        <w:t xml:space="preserve">Haciendo un paralelismo con la teoría de la evolución de las especies, podría decirse que, en el contexto global actual, no son necesariamente las organizaciones más grandes las que tienen mayores probabilidades de prosperar, sino aquellas que mejor se adaptan a un entorno cambiante, interdependiente y tecnológicamente acelerado. Esta idea sigue siendo válida, pero hoy debe entenderse de una manera más amplia que hace unos años. La adaptación empresarial ya no depende solo de reaccionar ante la competencia o incorporar nuevas herramientas, sino de desarrollar capacidades para operar en un ecosistema digital en el que convergen datos, inteligencia artificial, plataformas, infraestructuras distribuidas y nuevas exigencias regulatorias y sociales.</w:t>
      </w:r>
    </w:p>
    <w:p>
      <w:pPr>
        <w:pStyle w:val="BodyText"/>
      </w:pPr>
      <w:r>
        <w:t xml:space="preserve">El consumidor se ha vuelto más exigente, la competencia es más global y digital, y los avances tecnológicos están transformando la manera de producir, decidir, colaborar y relacionarse con clientes, proveedores y socios. Sin embargo, el cambio más relevante no es solo la aparición de nuevas tecnologías, sino el hecho de que estas tecnologías están dejando de ser un apoyo periférico para convertirse en parte de la estructura misma del negocio. En este nuevo contexto, la empresa digital no se define únicamente por ofrecer servicios en línea o por automatizar tareas, sino por su capacidad para aprender más deprisa, rediseñar procesos con mayor agilidad y crear valor de manera continua a partir de la interacción entre personas, datos y sistemas inteligentes (Capgemini Research Institute, 2024; McKinsey, 2024).</w:t>
      </w:r>
    </w:p>
    <w:p>
      <w:pPr>
        <w:pStyle w:val="BodyText"/>
      </w:pPr>
      <w:r>
        <w:t xml:space="preserve">En los últimos años, además, la inteligencia artificial generativa ha acelerado esta transformación de forma visible. Su impacto no se limita a automatizar tareas repetitivas, sino que alcanza actividades de análisis, generación de contenidos, apoyo a la decisión, aprendizaje y creatividad asistida. Esto obliga a revisar la propia noción de trabajo digital y a entender que muchas organizaciones empiezan a operar en un marco de co-inteligencia, en el que las personas colaboran con sistemas capaces de ampliar su capacidad de producir, explorar alternativas y reorganizar el conocimiento (Mollick, 2024).</w:t>
      </w:r>
    </w:p>
    <w:p>
      <w:pPr>
        <w:pStyle w:val="BodyText"/>
      </w:pPr>
      <w:r>
        <w:t xml:space="preserve">A esta evolución se suma otro elemento que hasta hace poco no ocupaba un lugar tan visible en los marcos introductorios de transformación digital: la infraestructura de conectividad. La expansión del ecosistema digital ya no depende exclusivamente de redes terrestres fijas o móviles, sino también de arquitecturas híbridas capaces de combinar distintas capas de conectividad, incluidas las comunicaciones satelitales y otras redes no terrestres. Estas soluciones amplían la cobertura, refuerzan la resiliencia y hacen posible la digitalización de actividades situadas en territorios remotos, corredores logísticos, entornos marítimos, infraestructuras críticas o sistemas productivos distribuidos (Broadband Commission, 2025). Por ello, hablar hoy de transformación digital implica también comprender que la conectividad es una capacidad estratégica, no solo una condición técnica de fondo.</w:t>
      </w:r>
    </w:p>
    <w:p>
      <w:pPr>
        <w:pStyle w:val="BodyText"/>
      </w:pPr>
      <w:r>
        <w:t xml:space="preserve">En este contexto, la pregunta «¿por qué transformarse?» sigue teniendo una respuesta clara, pero más compleja que la mera supervivencia. Las organizaciones se transforman para seguir siendo relevantes, para mantener su capacidad de decisión en entornos inciertos, para responder mejor a clientes y ciudadanos, para incrementar su productividad y para construir modelos de negocio más resilientes, escalables y sostenibles. Transformarse, por tanto, no consiste simplemente en digitalizar lo existente, sino en revisar cómo se crea valor, cómo se articulan las relaciones dentro del ecosistema y qué capacidades deben desarrollarse para competir y colaborar en la economía digital contemporánea.</w:t>
      </w:r>
    </w:p>
    <w:p>
      <w:pPr>
        <w:pStyle w:val="BodyText"/>
      </w:pPr>
      <w:r>
        <w:t xml:space="preserve">El presente tema tiene como finalidad ofrecer una primera visión estructurada de este nuevo contexto. Su función dentro de la asignatura es fundacional, ya que introduce conceptos, marcos y preguntas que servirán de base para los temas posteriores. Desde la lógica del programa, este capítulo se sitúa en el nivel de la urdimbre: establece los hilos conceptuales sobre los que después se entrelazarán las tecnologías, los casos y los marcos de decisión. Por ello, no se limita a presentar definiciones, sino que pretende ayudar a comprender por qué la transformación digital debe abordarse como un proceso estratégico, organizativo y socio-técnico.</w:t>
      </w:r>
    </w:p>
    <w:p>
      <w:pPr>
        <w:pStyle w:val="BodyText"/>
      </w:pPr>
      <w:r>
        <w:t xml:space="preserve">De manera más concreta, los objetivos perseguidos en este tema son los siguientes:</w:t>
      </w:r>
    </w:p>
    <w:p>
      <w:pPr>
        <w:numPr>
          <w:ilvl w:val="0"/>
          <w:numId w:val="1001"/>
        </w:numPr>
      </w:pPr>
      <w:r>
        <w:t xml:space="preserve">Comprender la dinámica y las características de los negocios digitales en el contexto actual.</w:t>
      </w:r>
    </w:p>
    <w:p>
      <w:pPr>
        <w:numPr>
          <w:ilvl w:val="0"/>
          <w:numId w:val="1001"/>
        </w:numPr>
      </w:pPr>
      <w:r>
        <w:t xml:space="preserve">Identificar las principales megatendencias que influyen en los procesos de transformación de empresas y sectores.</w:t>
      </w:r>
    </w:p>
    <w:p>
      <w:pPr>
        <w:numPr>
          <w:ilvl w:val="0"/>
          <w:numId w:val="1001"/>
        </w:numPr>
      </w:pPr>
      <w:r>
        <w:t xml:space="preserve">Analizar cómo la inteligencia artificial generativa y otras tecnologías recientes están modificando la productividad, la toma de decisiones y la organización del trabajo.</w:t>
      </w:r>
    </w:p>
    <w:p>
      <w:pPr>
        <w:numPr>
          <w:ilvl w:val="0"/>
          <w:numId w:val="1001"/>
        </w:numPr>
      </w:pPr>
      <w:r>
        <w:t xml:space="preserve">Reconocer el papel creciente de las infraestructuras de conectividad híbrida, incluidas las comunicaciones satelitales, en la evolución del ecosistema digital.</w:t>
      </w:r>
    </w:p>
    <w:p>
      <w:pPr>
        <w:numPr>
          <w:ilvl w:val="0"/>
          <w:numId w:val="1001"/>
        </w:numPr>
      </w:pPr>
      <w:r>
        <w:t xml:space="preserve">Definir el objetivo estratégico de la transformación y los beneficios esperados de su correcta formulación.</w:t>
      </w:r>
    </w:p>
    <w:p>
      <w:pPr>
        <w:numPr>
          <w:ilvl w:val="0"/>
          <w:numId w:val="1001"/>
        </w:numPr>
      </w:pPr>
      <w:r>
        <w:t xml:space="preserve">Identificar las tres palancas principales que permiten orientar la transformación: visión, estrategia y cambio.</w:t>
      </w:r>
    </w:p>
    <w:bookmarkEnd w:id="9"/>
    <w:bookmarkStart w:id="26" w:name="la-dinámica-de-los-negocios-digitales"/>
    <w:p>
      <w:pPr>
        <w:pStyle w:val="Heading1"/>
      </w:pPr>
      <w:r>
        <w:t xml:space="preserve">1.2. La dinámica de los negocios digitales</w:t>
      </w:r>
    </w:p>
    <w:p>
      <w:pPr>
        <w:pStyle w:val="FirstParagraph"/>
      </w:pPr>
      <w:r>
        <w:t xml:space="preserve">El mundo de los negocios se está digitalizando rápidamente, derribando barreras entre sectores, reconfigurando cadenas de valor y generando nuevas oportunidades al mismo tiempo que se debilitan modelos empresariales que durante mucho tiempo parecieron sólidos. Este proceso se conoce como disrupción digital, aunque conviene entender que la disrupción no depende únicamente de la aparición de una tecnología nueva, sino de la capacidad de reorganizar de una forma más eficiente la relación entre oferta, demanda, información, infraestructura y experiencia de cliente. Por ello, más que una simple sustitución tecnológica, la disrupción digital representa una transformación de la lógica con la que las organizaciones crean, entregan y capturan valor (Leminen et al., 2024; Laudien et al., 2024).</w:t>
      </w:r>
    </w:p>
    <w:p>
      <w:pPr>
        <w:pStyle w:val="BodyText"/>
      </w:pPr>
      <w:r>
        <w:t xml:space="preserve">Aunque el cambio que permite la tecnología a menudo no resulta ni fácil ni rápido, el entorno actual ofrece numerosos ejemplos de que se está produciendo con intensidad creciente. Los casos de Uber, Airbnb o Amazon siguen siendo útiles como referencias ya consolidadas de la primera gran ola de negocios de plataforma, pero hoy resulta necesario ampliar la mirada. En la actualidad, la dinámica de los negocios digitales también viene determinada por la irrupción de la inteligencia artificial generativa, la consolidación de ecosistemas de plataforma, la creciente relevancia de los datos como activo estratégico y la extensión de infraestructuras de conectividad más complejas, incluidas las redes híbridas y las comunicaciones satelitales, que amplían el radio operativo de muchas actividades económicas (McKinsey, 2024; Broadband Commission, 2025).</w:t>
      </w:r>
    </w:p>
    <w:p>
      <w:pPr>
        <w:pStyle w:val="BodyText"/>
      </w:pPr>
      <w:r>
        <w:t xml:space="preserve">Reflexiona: ¿tu organización pertenece a un sector en el que los modelos de negocio tradicionales están siendo presionados por plataformas, datos, automatización o nuevas formas de intermediación digital?</w:t>
      </w:r>
    </w:p>
    <w:bookmarkStart w:id="10" w:name="qué-entendemos-por-negocio-digital"/>
    <w:p>
      <w:pPr>
        <w:pStyle w:val="Heading2"/>
      </w:pPr>
      <w:r>
        <w:t xml:space="preserve">¿Qué entendemos por negocio digital?</w:t>
      </w:r>
    </w:p>
    <w:p>
      <w:pPr>
        <w:pStyle w:val="FirstParagraph"/>
      </w:pPr>
      <w:r>
        <w:t xml:space="preserve">Un negocio digital es aquel que utiliza los canales y los servicios digitales como piezas fundamentales de sus actividades empresariales, de su actividad productiva o comercial. Sin embargo, hoy esta definición debe interpretarse de forma más amplia. Un negocio digital no es solo una empresa que vende por internet o que automatiza algunos procesos internos, sino una organización que integra tecnologías, datos, software, conectividad y capacidades analíticas en el núcleo mismo de su funcionamiento. En otras palabras, se trata de una empresa cuya propuesta de valor, cuya forma de operar y cuya capacidad de adaptación dependen en gran medida de su arquitectura digital (Leminen et al., 2024; Laudien et al., 2024).</w:t>
      </w:r>
    </w:p>
    <w:p>
      <w:pPr>
        <w:pStyle w:val="BodyText"/>
      </w:pPr>
      <w:r>
        <w:t xml:space="preserve">No todos los negocios digitales son iguales, pero sí comparten una serie de características comunes. Estas características no deben entenderse como una lista cerrada, sino como un conjunto de capacidades que permiten comprender mejor por qué algunas organizaciones se adaptan con mayor rapidez que otras a contextos inestables y tecnológicamente intensivos.</w:t>
      </w:r>
    </w:p>
    <w:bookmarkEnd w:id="10"/>
    <w:bookmarkStart w:id="11" w:name="centrado-en-el-cliente"/>
    <w:p>
      <w:pPr>
        <w:pStyle w:val="Heading2"/>
      </w:pPr>
      <w:r>
        <w:t xml:space="preserve">Centrado en el cliente</w:t>
      </w:r>
    </w:p>
    <w:p>
      <w:pPr>
        <w:pStyle w:val="FirstParagraph"/>
      </w:pPr>
      <w:r>
        <w:t xml:space="preserve">Hace referencia a la personalización de los productos y servicios que ofrece, la mejora de la atención al usuario, una resolución rápida de incidencias, una buena comunicación con el cliente y, a largo plazo, la construcción de una relación duradera. No obstante, en el contexto actual esta orientación al cliente exige algo más que una actitud comercial adecuada. Requiere integrar señales procedentes de múltiples puntos de contacto, interpretar mejor los comportamientos del usuario y traducir ese conocimiento en decisiones operativas, de diseño y de servicio. Cuanto más digital es un negocio, mayor suele ser su capacidad para convertir la relación con el cliente en una fuente continua de aprendizaje.</w:t>
      </w:r>
    </w:p>
    <w:bookmarkEnd w:id="11"/>
    <w:bookmarkStart w:id="12" w:name="X9766d54cdc3d52c92beffe4ea7c6414116bf31f"/>
    <w:p>
      <w:pPr>
        <w:pStyle w:val="Heading2"/>
      </w:pPr>
      <w:r>
        <w:t xml:space="preserve">Orientado a la productividad y la optimización de los procesos</w:t>
      </w:r>
    </w:p>
    <w:p>
      <w:pPr>
        <w:pStyle w:val="FirstParagraph"/>
      </w:pPr>
      <w:r>
        <w:t xml:space="preserve">Los negocios digitales optimizan sus procesos para obtener mayor eficiencia y productividad, e invierten en innovación y tecnología con el objetivo de aportar valor añadido, como mínimo, a aquellas actividades que constituyen el núcleo de sus operaciones. Por ello, un negocio digital va más allá de digitalizar y automatizar tareas aisladas en busca de ahorro de costes o incremento de beneficios. Lo que persigue, en realidad, es rediseñar procesos completos para operar con menos fricción, mayor visibilidad y una mejor capacidad de respuesta. En este sentido, la productividad ya no depende solo de hacer más con menos, sino de coordinar mejor personas, sistemas, datos y decisiones (McKinsey, 2024).</w:t>
      </w:r>
    </w:p>
    <w:bookmarkEnd w:id="12"/>
    <w:bookmarkStart w:id="13" w:name="conoce-la-importancia-de-los-datos"/>
    <w:p>
      <w:pPr>
        <w:pStyle w:val="Heading2"/>
      </w:pPr>
      <w:r>
        <w:t xml:space="preserve">Conoce la importancia de los datos</w:t>
      </w:r>
    </w:p>
    <w:p>
      <w:pPr>
        <w:pStyle w:val="FirstParagraph"/>
      </w:pPr>
      <w:r>
        <w:t xml:space="preserve">Obtener datos de calidad sobre las relaciones con clientes y proveedores, así como de los propios procesos internos y de las operaciones, y saber analizarlos, fomenta que se tomen mejores decisiones. Sin embargo, en el entorno actual el valor de los datos no reside únicamente en su disponibilidad, sino en su calidad, su integración, su gobernanza y su capacidad para alimentar procesos analíticos y decisiones de negocio. A medida que las organizaciones incorporan automatización avanzada e inteligencia artificial, la calidad de los datos y la forma en que se estructuran pasan a condicionar directamente la eficacia de la empresa.</w:t>
      </w:r>
    </w:p>
    <w:bookmarkEnd w:id="13"/>
    <w:bookmarkStart w:id="14" w:name="toma-decisiones-de-manera-eficaz"/>
    <w:p>
      <w:pPr>
        <w:pStyle w:val="Heading2"/>
      </w:pPr>
      <w:r>
        <w:t xml:space="preserve">Toma decisiones de manera eficaz</w:t>
      </w:r>
    </w:p>
    <w:p>
      <w:pPr>
        <w:pStyle w:val="FirstParagraph"/>
      </w:pPr>
      <w:r>
        <w:t xml:space="preserve">Puede adaptarse sin problemas, tomar decisiones y actuar sin contar con toda la información. Decide de manera ágil y dinámica, alineada con los objetivos estratégicos. Esto no significa actuar de forma improvisada, sino ser capaz de interpretar señales relevantes con rapidez suficiente para responder a un entorno cambiante. En los negocios digitales, la ventaja no proviene solo de disponer de más información, sino de contar con la capacidad organizativa necesaria para convertirla en criterio y acción a tiempo.</w:t>
      </w:r>
    </w:p>
    <w:bookmarkEnd w:id="14"/>
    <w:bookmarkStart w:id="15" w:name="no-tiene-miedo-a-equivocarse"/>
    <w:p>
      <w:pPr>
        <w:pStyle w:val="Heading2"/>
      </w:pPr>
      <w:r>
        <w:t xml:space="preserve">No tiene miedo a equivocarse</w:t>
      </w:r>
    </w:p>
    <w:p>
      <w:pPr>
        <w:pStyle w:val="FirstParagraph"/>
      </w:pPr>
      <w:r>
        <w:t xml:space="preserve">Un entorno dinámico y en cambio constante implica tomar decisiones continuamente para evolucionar. Por esta razón, es imprescindible que la dirección de la empresa y los trabajadores, cada uno dentro de su área de responsabilidad, mantengan una actitud abierta y asuman que innovar exige experimentar, medir y corregir. Si se buscan resultados diferentes, no se puede hacer siempre lo mismo, y en la toma de decisiones siempre existe un grado de incertidumbre con el que es necesario convivir. En el contexto actual, esta disposición a aprender resulta aún más importante, ya que la adopción de nuevas tecnologías y modelos de relación exige capacidades de ensayo, ajuste y mejora continua.</w:t>
      </w:r>
    </w:p>
    <w:bookmarkEnd w:id="15"/>
    <w:bookmarkStart w:id="16" w:name="es-flexible"/>
    <w:p>
      <w:pPr>
        <w:pStyle w:val="Heading2"/>
      </w:pPr>
      <w:r>
        <w:t xml:space="preserve">Es flexible</w:t>
      </w:r>
    </w:p>
    <w:p>
      <w:pPr>
        <w:pStyle w:val="FirstParagraph"/>
      </w:pPr>
      <w:r>
        <w:t xml:space="preserve">Se encuentra en evolución constante y ha interiorizado que adaptarse a los cambios es importante. En cuanto a la organización interna, sabe que una compañía muy jerarquizada reduce sus posibilidades de crecimiento y limita la creatividad del equipo de trabajo. La flexibilidad, por tanto, no debe entenderse solo como una actitud cultural, sino también como una propiedad organizativa y arquitectónica. Una empresa flexible es aquella que puede reorganizar recursos, coordinar capacidades y revisar decisiones sin quedar bloqueada por estructuras excesivamente rígidas.</w:t>
      </w:r>
    </w:p>
    <w:bookmarkEnd w:id="16"/>
    <w:bookmarkStart w:id="17" w:name="tipos-de-negocios-digitales"/>
    <w:p>
      <w:pPr>
        <w:pStyle w:val="Heading2"/>
      </w:pPr>
      <w:r>
        <w:t xml:space="preserve">Tipos de negocios digitales</w:t>
      </w:r>
    </w:p>
    <w:p>
      <w:pPr>
        <w:pStyle w:val="FirstParagraph"/>
      </w:pPr>
      <w:r>
        <w:t xml:space="preserve">Como hemos visto, los negocios digitales presentan una serie de características que podrían considerarse comunes, pero en función de la orientación de su modelo de negocio y del conocimiento que tienen del cliente final, pueden diferenciarse cuatro tipos de negocios digitales, cada uno con capacidades y relaciones asociadas (Sviokla, 2018).</w:t>
      </w:r>
    </w:p>
    <w:p>
      <w:pPr>
        <w:pStyle w:val="BodyText"/>
      </w:pPr>
      <w:r>
        <w:t xml:space="preserve">En primer lugar, las empresas deben determinar hasta qué punto quieren controlar la cadena de valor o ser parte de un ecosistema más complejo. En segundo lugar, necesitan decidir cuánto quieren invertir en conocer a sus clientes finales. A partir de estas dos decisiones, es posible distinguir cuatro grandes tipos de negocio digital. Aunque esta clasificación sigue siendo útil como esquema introductorio, hoy conviene interpretarla teniendo en cuenta que muchas organizaciones operan ya en ecosistemas de plataforma más abiertos, dinámicos e interdependientes que los descritos originalmente, y que la posición competitiva de la empresa depende cada vez más de su capacidad para articular relaciones, datos, interfaces e infraestructura dentro del ecosistema (Li, 2024; Martín-Peña et al., 2024).</w:t>
      </w:r>
    </w:p>
    <w:bookmarkEnd w:id="17"/>
    <w:bookmarkStart w:id="18" w:name="proveedor"/>
    <w:p>
      <w:pPr>
        <w:pStyle w:val="Heading2"/>
      </w:pPr>
      <w:r>
        <w:t xml:space="preserve">Proveedor</w:t>
      </w:r>
    </w:p>
    <w:p>
      <w:pPr>
        <w:pStyle w:val="FirstParagraph"/>
      </w:pPr>
      <w:r>
        <w:t xml:space="preserve">Los proveedores tienen, en el mejor de los casos, un conocimiento parcial de su consumidor final y, por lo general, operan dentro de la cadena de valor de otra empresa mucho más grande que actúa como distribuidor, integrador o intermediario dominante. Empresas que venden seguros a través de agentes independientes, productos electrónicos mediante minoristas o servicios integrados en una plataforma ajena responden a esta lógica. A medida que las grandes organizaciones continúan digitalizándose y la búsqueda de alternativas se vuelve más sencilla, es probable que los proveedores pierdan poder relativo y se vean presionados a reducir precios o a diferenciarse por especialización, calidad o integración.</w:t>
      </w:r>
    </w:p>
    <w:bookmarkEnd w:id="18"/>
    <w:bookmarkStart w:id="19" w:name="omnicanal"/>
    <w:p>
      <w:pPr>
        <w:pStyle w:val="Heading2"/>
      </w:pPr>
      <w:r>
        <w:t xml:space="preserve">Omnicanal</w:t>
      </w:r>
    </w:p>
    <w:p>
      <w:pPr>
        <w:pStyle w:val="FirstParagraph"/>
      </w:pPr>
      <w:r>
        <w:t xml:space="preserve">Las empresas omnicanal brindan a los clientes acceso a sus productos a través de múltiples canales, incluidos los físicos y los digitales, lo que les proporciona más opciones y una experiencia más integrada. Su aspiración suele ser controlar una cadena de valor suficientemente coordinada como para conservar la relación con el cliente y aumentar el conocimiento que tienen de él. El reto, en este caso, no consiste solo en estar presente en varios canales, sino en evitar la fragmentación de la experiencia y convertir la interacción con el cliente en una fuente coherente de información, fidelización y aprendizaje.</w:t>
      </w:r>
    </w:p>
    <w:bookmarkEnd w:id="19"/>
    <w:bookmarkStart w:id="20" w:name="productor-modular"/>
    <w:p>
      <w:pPr>
        <w:pStyle w:val="Heading2"/>
      </w:pPr>
      <w:r>
        <w:t xml:space="preserve">Productor modular</w:t>
      </w:r>
    </w:p>
    <w:p>
      <w:pPr>
        <w:pStyle w:val="FirstParagraph"/>
      </w:pPr>
      <w:r>
        <w:t xml:space="preserve">Los productores modulares ofrecen productos o servicios que pueden integrarse en una gran variedad de ecosistemas. En muchos casos compiten no tanto por el control directo del cliente final como por la calidad, la fiabilidad, la interoperabilidad o la facilidad con la que su solución puede ser incorporada por otros actores. Para sobrevivir, deben situarse entre las mejores opciones de su categoría; para prosperar, necesitan innovar de forma continua y sostener una propuesta de valor claramente diferenciada. En un entorno de alta competencia y bajos costes de cambio, la modularidad puede ser una ventaja poderosa, pero también obliga a mantener un ritmo constante de mejora.</w:t>
      </w:r>
    </w:p>
    <w:bookmarkEnd w:id="20"/>
    <w:bookmarkStart w:id="21" w:name="impulsor-del-ecosistema"/>
    <w:p>
      <w:pPr>
        <w:pStyle w:val="Heading2"/>
      </w:pPr>
      <w:r>
        <w:t xml:space="preserve">Impulsor del ecosistema</w:t>
      </w:r>
    </w:p>
    <w:p>
      <w:pPr>
        <w:pStyle w:val="FirstParagraph"/>
      </w:pPr>
      <w:r>
        <w:t xml:space="preserve">Algunas compañías establecen un ecosistema creando relaciones con otros proveedores que ofrecen productos o servicios complementarios y, en ocasiones, incluso con competidores. Al igual que los negocios omnicanal, los impulsores del ecosistema utilizan la fuerza de su marca, su interfaz o su capacidad de coordinación para atraer participantes, ofrecer una experiencia integrada y ocupar una posición central en un dominio específico. Aspiran a poseer la relación con el cliente aumentando su conocimiento sobre los consumidores finales, pero también a capturar valor mediante la orquestación del conjunto. En el entorno actual, este modelo ha adquirido una relevancia creciente, ya que muchas de las empresas con mayor capacidad de influencia operan precisamente como organizadoras de ecosistemas de plataforma, donde el valor depende de la interacción entre múltiples actores y no solo del producto individual (Li, 2024; Martín-Peña et al., 2024).</w:t>
      </w:r>
    </w:p>
    <w:p>
      <w:pPr>
        <w:pStyle w:val="BodyText"/>
      </w:pPr>
      <w:r>
        <w:t xml:space="preserve">En este contexto, la digitalización y la transformación digital ofrecen a las empresas oportunidades para evolucionar su modelo de negocio. La cuestión relevante no es únicamente qué tipo de negocio digital describe mejor a una organización en un momento dado, sino qué posición desea ocupar dentro del ecosistema y qué capacidades necesita desarrollar para sostenerla o transformarla.</w:t>
      </w:r>
    </w:p>
    <w:bookmarkEnd w:id="21"/>
    <w:bookmarkStart w:id="22" w:name="prepararse-para-el-futuro"/>
    <w:p>
      <w:pPr>
        <w:pStyle w:val="Heading2"/>
      </w:pPr>
      <w:r>
        <w:t xml:space="preserve">Prepararse para el futuro</w:t>
      </w:r>
    </w:p>
    <w:p>
      <w:pPr>
        <w:pStyle w:val="FirstParagraph"/>
      </w:pPr>
      <w:r>
        <w:t xml:space="preserve">En relación con todo lo anteriormente comentado, parece evidente que, para prepararse para el futuro, las empresas necesitan desarrollar nuevas capacidades principalmente en dos áreas.</w:t>
      </w:r>
    </w:p>
    <w:bookmarkEnd w:id="22"/>
    <w:bookmarkStart w:id="23" w:name="conocer-mejor-al-cliente"/>
    <w:p>
      <w:pPr>
        <w:pStyle w:val="Heading2"/>
      </w:pPr>
      <w:r>
        <w:t xml:space="preserve">Conocer mejor al cliente</w:t>
      </w:r>
    </w:p>
    <w:p>
      <w:pPr>
        <w:pStyle w:val="FirstParagraph"/>
      </w:pPr>
      <w:r>
        <w:t xml:space="preserve">Conocer mejor al cliente exige utilizar capacidades digitales para obtener más información acerca de sus características, necesidades y expectativas. Muchas empresas sí disponen de datos sobre sus clientes, pero estos se encuentran almacenados en diferentes departamentos, sistemas o geografías. El reto consiste en reunirlos, interpretarlos correctamente y extraer de ellos información útil para la toma de decisiones. También implica amplificar la voz del cliente mediante métricas, seguimiento de interacciones y análisis de comportamiento, de manera que la empresa pueda comprender con mayor precisión cómo se percibe su oferta y cómo evoluciona la experiencia de uso.</w:t>
      </w:r>
    </w:p>
    <w:p>
      <w:pPr>
        <w:pStyle w:val="BodyText"/>
      </w:pPr>
      <w:r>
        <w:t xml:space="preserve">Del mismo modo, conocer mejor al cliente exige tomar decisiones basadas en evidencia. La experiencia y la intuición siguen siendo relevantes, especialmente cuando intervienen dimensiones difíciles de cuantificar, pero en la economía digital contemporánea las decisiones estratégicas y operativas necesitan apoyarse cada vez más en información estructurada, análisis y contraste empírico. Finalmente, desarrollar una experiencia integrada y multiproducto requiere que la empresa sea capaz de coordinar productos, servicios y canales de forma coherente, algo que con frecuencia exige una transformación organizativa más profunda que la mera incorporación de herramientas digitales.</w:t>
      </w:r>
    </w:p>
    <w:bookmarkEnd w:id="23"/>
    <w:bookmarkStart w:id="24" w:name="orientarse-más-a-ecosistema"/>
    <w:p>
      <w:pPr>
        <w:pStyle w:val="Heading2"/>
      </w:pPr>
      <w:r>
        <w:t xml:space="preserve">Orientarse más a ecosistema</w:t>
      </w:r>
    </w:p>
    <w:p>
      <w:pPr>
        <w:pStyle w:val="FirstParagraph"/>
      </w:pPr>
      <w:r>
        <w:t xml:space="preserve">Orientarse más a ecosistema implica convertirse en una opción relevante dentro del espacio en el que la empresa compite y colabora. Tener éxito depende en buena medida de ser capaz de aportar valor dentro de una red de relaciones en la que intervienen proveedores, socios, clientes, plataformas, integradores y, en ocasiones, incluso competidores. En este contexto, potenciar relaciones de partenariado resulta fundamental, ya que muchos modelos digitales no prosperan de manera aislada, sino a través de complementariedades, integraciones y acuerdos que amplían la propuesta de valor.</w:t>
      </w:r>
    </w:p>
    <w:p>
      <w:pPr>
        <w:pStyle w:val="BodyText"/>
      </w:pPr>
      <w:r>
        <w:t xml:space="preserve">Asimismo, el éxito exige crear interfaces para que otros puedan utilizar los servicios propios de manera fácil y segura. Esto supone poner a disposición de terceros determinadas capacidades de la empresa —transacciones, datos, funciones, servicios— sin perder control sobre la fiabilidad, la seguridad y la coherencia del sistema. En el entorno actual, además, tratar la eficiencia, el cumplimiento y la resiliencia como competencias básicas resulta imprescindible. La digitalización de las operaciones internas ya no puede separarse de cuestiones como la privacidad de los datos, las amenazas cibernéticas, las interrupciones del servicio o la creciente necesidad de cumplimiento regulatorio.</w:t>
      </w:r>
    </w:p>
    <w:p>
      <w:pPr>
        <w:pStyle w:val="BodyText"/>
      </w:pPr>
      <w:r>
        <w:t xml:space="preserve">A ello se añade una dimensión que ha ganado peso en los últimos años: la robustez de la infraestructura de conectividad. La expansión de redes híbridas y de soluciones no terrestres está ampliando las posibilidades de supervisión, coordinación y prestación de servicios en territorios y operaciones que antes quedaban fuera del alcance de una digitalización intensiva. En determinados sectores, la conectividad satelital se está convirtiendo en un habilitador real de continuidad operativa, trazabilidad y cobertura extendida, reforzando la inserción de las organizaciones en ecosistemas digitales más amplios (Broadband Commission, 2025; ITU, 2025).</w:t>
      </w:r>
    </w:p>
    <w:p>
      <w:pPr>
        <w:pStyle w:val="BodyText"/>
      </w:pPr>
      <w:r>
        <w:t xml:space="preserve">En este contexto, la cuestión clave es cómo de seria es la amenaza digital, con qué rapidez necesita evolucionar la empresa y hasta qué punto debe profundizar en su conocimiento de los clientes y en su integración en ecosistemas más amplios. Sea cual sea la respuesta, para realizar un proceso de transformación digital con garantías de éxito es necesario conocer bien el entorno, no solo la competencia, definir el objetivo estratégico que se persigue con la transformación y reconocer qué capacidades deben desarrollarse para alcanzarlo. Sobre estas cuestiones profundizaremos en los siguientes apartados.</w:t>
      </w:r>
    </w:p>
    <w:bookmarkEnd w:id="24"/>
    <w:bookmarkStart w:id="25" w:name="observación-de-revisión"/>
    <w:p>
      <w:pPr>
        <w:pStyle w:val="Heading2"/>
      </w:pPr>
      <w:r>
        <w:t xml:space="preserve">Observación de revisión</w:t>
      </w:r>
    </w:p>
    <w:p>
      <w:pPr>
        <w:pStyle w:val="FirstParagraph"/>
      </w:pPr>
      <w:r>
        <w:t xml:space="preserve">Este capítulo puede mantenerse con su estructura original, porque sigue siendo funcional y pedagógicamente clara. No obstante, en la edición final podría valorarse una leve actualización del aparato visual y de los ejemplos canónicos que acompañan al arranque del capítulo, de forma que Uber, Airbnb y Amazon permanezcan como referencias históricas de la primera ola de disrupción, pero compartan espacio con ejemplos más recientes vinculados a inteligencia artificial, plataformas especializadas e infraestructuras conectadas.</w:t>
      </w:r>
    </w:p>
    <w:bookmarkEnd w:id="25"/>
    <w:bookmarkEnd w:id="26"/>
    <w:bookmarkStart w:id="54" w:name="las-megatendencias"/>
    <w:p>
      <w:pPr>
        <w:pStyle w:val="Heading1"/>
      </w:pPr>
      <w:r>
        <w:t xml:space="preserve">1.3. Las megatendencias</w:t>
      </w:r>
    </w:p>
    <w:p>
      <w:pPr>
        <w:pStyle w:val="FirstParagraph"/>
      </w:pPr>
      <w:r>
        <w:t xml:space="preserve">El entorno nos afecta, como individuos y como organizaciones. Conocer y comprender cómo cambia y evoluciona es un aspecto clave para anticipar transformaciones, detectar oportunidades y reducir riesgos. En este sentido, las megatendencias globales pueden entenderse como grandes fuerzas de cambio que afectan de manera persistente y estructural a la economía, los negocios y la sociedad. Su importancia no reside únicamente en su escala, sino en su capacidad para alterar marcos de decisión, modelos de negocio, prioridades de inversión y formas de relación entre empresas, instituciones y ciudadanos.</w:t>
      </w:r>
    </w:p>
    <w:p>
      <w:pPr>
        <w:pStyle w:val="BodyText"/>
      </w:pPr>
      <w:r>
        <w:t xml:space="preserve">La identificación y el análisis de las megatendencias sigue siendo fundamental para las empresas porque ayuda a anticiparse a la evolución del mercado, posibilita definir en una fase temprana estrategias de adaptación, permite posicionar mejor productos y servicios y favorece la detección de nuevas oportunidades de negocio. Sin embargo, en el contexto actual conviene evitar una lectura excesivamente lineal de estas tendencias. Las megatendencias no actúan de manera aislada, sino que se influyen mutuamente y generan efectos compuestos. Precisamente por ello, una lectura estratégica más útil consiste en agruparlas en grandes familias que permitan interpretar mejor sus interdependencias y su impacto sobre la transformación digital (PwC, 2024; Aon, 2025).</w:t>
      </w:r>
    </w:p>
    <w:p>
      <w:pPr>
        <w:pStyle w:val="BodyText"/>
      </w:pPr>
      <w:r>
        <w:t xml:space="preserve">A efectos analíticos, en este tema agruparemos las principales megatendencias en cuatro grandes familias: sociedad, tecnología, medioambiente y geopolítica. Esta agrupación no elimina la especificidad de cada tendencia, pero facilita comprender cómo se combinan y por qué su efecto sobre las organizaciones rara vez es unidimensional.</w:t>
      </w:r>
    </w:p>
    <w:bookmarkStart w:id="31" w:name="Xf46664cce0a489228edcf0292d32e501e7503a7"/>
    <w:p>
      <w:pPr>
        <w:pStyle w:val="Heading2"/>
      </w:pPr>
      <w:r>
        <w:t xml:space="preserve">La identificación y análisis de las megatendencias es fundamental para las empresas</w:t>
      </w:r>
    </w:p>
    <w:p>
      <w:pPr>
        <w:pStyle w:val="FirstParagraph"/>
      </w:pPr>
      <w:r>
        <w:t xml:space="preserve">La utilidad de las megatendencias radica en que permiten leer el entorno con una perspectiva más amplia que la simple observación del competidor o del mercado inmediato. Una empresa que interpreta correctamente estas fuerzas no solo reacciona mejor a los cambios, sino que puede situarse antes en espacios de oportunidad, ajustar su propuesta de valor y reforzar su resiliencia. Por ello, el análisis de megatendencias no debe entenderse como un ejercicio prospectivo abstracto, sino como una herramienta para tomar decisiones estratégicas con mayor fundamento.</w:t>
      </w:r>
    </w:p>
    <w:p>
      <w:pPr>
        <w:pStyle w:val="BodyText"/>
      </w:pPr>
      <w:r>
        <w:t xml:space="preserve">En la actualidad, además, el reto no está solo en identificar tendencias, sino en comprender cómo se cruzan entre sí. El cambio climático afecta a la logística y a la disponibilidad de recursos; la geopolítica condiciona el acceso a tecnologías, materiales y mercados; la digitalización modifica el trabajo, el consumo y la seguridad; y los cambios demográficos alteran tanto la demanda como la estructura de la fuerza laboral. Esta interacción obliga a las empresas a pensar de forma menos sectorial y más sistémica.</w:t>
      </w:r>
    </w:p>
    <w:bookmarkStart w:id="27" w:name="megatendencias-sociales"/>
    <w:p>
      <w:pPr>
        <w:pStyle w:val="Heading3"/>
      </w:pPr>
      <w:r>
        <w:t xml:space="preserve">Megatendencias sociales</w:t>
      </w:r>
    </w:p>
    <w:p>
      <w:pPr>
        <w:pStyle w:val="FirstParagraph"/>
      </w:pPr>
      <w:r>
        <w:t xml:space="preserve">Las megatendencias sociales agrupan cambios de largo recorrido relacionados con la demografía, la urbanización, la salud y el comportamiento del consumidor. Aunque estas dinámicas no siempre se perciben como “tecnológicas”, condicionan directamente la forma en que las organizaciones diseñan productos, organizan servicios y planifican capacidades.</w:t>
      </w:r>
    </w:p>
    <w:bookmarkEnd w:id="27"/>
    <w:bookmarkStart w:id="28" w:name="crecimiento-demográfico"/>
    <w:p>
      <w:pPr>
        <w:pStyle w:val="Heading3"/>
      </w:pPr>
      <w:r>
        <w:t xml:space="preserve">Crecimiento demográfico</w:t>
      </w:r>
    </w:p>
    <w:p>
      <w:pPr>
        <w:pStyle w:val="FirstParagraph"/>
      </w:pPr>
      <w:r>
        <w:t xml:space="preserve">La evolución demográfica sigue siendo una de las grandes fuerzas de transformación del entorno económico y social. El crecimiento de la población en determinadas regiones, combinado con el envejecimiento en otras, altera la composición de los mercados, la disponibilidad de talento y la demanda de servicios. Para las empresas, esta tendencia afecta tanto al tamaño potencial de ciertos sectores como a la necesidad de rediseñar productos, canales y experiencias para poblaciones más diversas y longevas.</w:t>
      </w:r>
    </w:p>
    <w:bookmarkEnd w:id="28"/>
    <w:bookmarkStart w:id="29" w:name="urbanización"/>
    <w:p>
      <w:pPr>
        <w:pStyle w:val="Heading3"/>
      </w:pPr>
      <w:r>
        <w:t xml:space="preserve">Urbanización</w:t>
      </w:r>
    </w:p>
    <w:p>
      <w:pPr>
        <w:pStyle w:val="FirstParagraph"/>
      </w:pPr>
      <w:r>
        <w:t xml:space="preserve">Actualmente, una parte cada vez mayor de la población vive en entornos urbanos, lo que incrementa la presión sobre infraestructuras, movilidad, energía, vivienda y servicios públicos. La urbanización favorece además la concentración de datos, conectividad y plataformas de servicio, haciendo de las ciudades espacios especialmente relevantes para la experimentación digital. Al mismo tiempo, intensifica desafíos de congestión, desigualdad territorial y vulnerabilidad climática, que condicionan las decisiones de inversión y operación.</w:t>
      </w:r>
    </w:p>
    <w:bookmarkEnd w:id="29"/>
    <w:bookmarkStart w:id="30" w:name="salud"/>
    <w:p>
      <w:pPr>
        <w:pStyle w:val="Heading3"/>
      </w:pPr>
      <w:r>
        <w:t xml:space="preserve">Salud</w:t>
      </w:r>
    </w:p>
    <w:p>
      <w:pPr>
        <w:pStyle w:val="FirstParagraph"/>
      </w:pPr>
      <w:r>
        <w:t xml:space="preserve">La salud ha adquirido un peso creciente como megatendencia por la convergencia entre envejecimiento, presión asistencial, digitalización, biotecnología y nuevas expectativas de bienestar. La transformación del ámbito sanitario no afecta solo a hospitales o aseguradoras, sino también a empresas de tecnología, servicios, alimentación, deporte y cuidado. La salud deja así de ser un sector aislado y pasa a convertirse en una dimensión transversal de la economía y del diseño de servicios.</w:t>
      </w:r>
    </w:p>
    <w:bookmarkEnd w:id="30"/>
    <w:bookmarkEnd w:id="31"/>
    <w:bookmarkStart w:id="35" w:name="comportamiento-del-consumidor"/>
    <w:p>
      <w:pPr>
        <w:pStyle w:val="Heading2"/>
      </w:pPr>
      <w:r>
        <w:t xml:space="preserve">Comportamiento del consumidor</w:t>
      </w:r>
    </w:p>
    <w:p>
      <w:pPr>
        <w:pStyle w:val="FirstParagraph"/>
      </w:pPr>
      <w:r>
        <w:t xml:space="preserve">Los consumidores están demandando a las empresas una combinación cada vez más exigente de personalización, inmediatez, transparencia, seguridad y coherencia entre canales. También valoran cada vez más aspectos relacionados con sostenibilidad, privacidad, experiencia digital y reputación. Esto obliga a las organizaciones a interpretar no solo preferencias de compra, sino también valores, expectativas y formas cambiantes de relación con marcas, plataformas y servicios.</w:t>
      </w:r>
    </w:p>
    <w:bookmarkStart w:id="32" w:name="megatendencias-tecnológicas"/>
    <w:p>
      <w:pPr>
        <w:pStyle w:val="Heading3"/>
      </w:pPr>
      <w:r>
        <w:t xml:space="preserve">Megatendencias tecnológicas</w:t>
      </w:r>
    </w:p>
    <w:p>
      <w:pPr>
        <w:pStyle w:val="FirstParagraph"/>
      </w:pPr>
      <w:r>
        <w:t xml:space="preserve">Las megatendencias tecnológicas agrupan aquellas dinámicas asociadas al avance acelerado de las capacidades técnicas, digitales y científicas que están transformando la actividad económica y la organización del trabajo.</w:t>
      </w:r>
    </w:p>
    <w:bookmarkEnd w:id="32"/>
    <w:bookmarkStart w:id="33" w:name="avances-tecnológicos"/>
    <w:p>
      <w:pPr>
        <w:pStyle w:val="Heading3"/>
      </w:pPr>
      <w:r>
        <w:t xml:space="preserve">Avances tecnológicos</w:t>
      </w:r>
    </w:p>
    <w:p>
      <w:pPr>
        <w:pStyle w:val="FirstParagraph"/>
      </w:pPr>
      <w:r>
        <w:t xml:space="preserve">Los avances tecnológicos rápidos y disruptivos continúan modificando la forma de trabajar, producir, aprender y relacionarse. No obstante, en el momento actual el cambio más visible no reside solo en la aparición de nuevas herramientas, sino en la velocidad con la que estas alteran ocupaciones, procesos y modelos de negocio. La inteligencia artificial generativa, la automatización avanzada, la biotecnología, los materiales inteligentes o las tecnologías espaciales amplían el campo de transformación y obligan a las organizaciones a reforzar su capacidad de absorción tecnológica (World Economic Forum, 2025; Fundación Innovación Bankinter, 2025).</w:t>
      </w:r>
    </w:p>
    <w:bookmarkEnd w:id="33"/>
    <w:bookmarkStart w:id="34" w:name="digitalización"/>
    <w:p>
      <w:pPr>
        <w:pStyle w:val="Heading3"/>
      </w:pPr>
      <w:r>
        <w:t xml:space="preserve">Digitalización</w:t>
      </w:r>
    </w:p>
    <w:p>
      <w:pPr>
        <w:pStyle w:val="FirstParagraph"/>
      </w:pPr>
      <w:r>
        <w:t xml:space="preserve">La digitalización sigue siendo una megatendencia central, pero ya no puede entenderse solo como la incorporación de dispositivos móviles, cloud, inteligencia artificial o internet de las cosas. En realidad, incluye la expansión de ecosistemas de datos, plataformas, automatización, identidades digitales, trazabilidad, analítica avanzada y conectividad extendida. La digitalización no es solo una fuente de eficiencia, sino una condición de posibilidad para operar, decidir y colaborar.</w:t>
      </w:r>
    </w:p>
    <w:p>
      <w:pPr>
        <w:pStyle w:val="BodyText"/>
      </w:pPr>
      <w:r>
        <w:t xml:space="preserve">En este contexto, la infraestructura de conectividad adquiere una relevancia renovada. La transformación digital ya no depende exclusivamente de redes terrestres convencionales, sino también de arquitecturas híbridas y soluciones no terrestres que amplían la cobertura, refuerzan la continuidad operativa y facilitan la digitalización de actividades distribuidas. En determinados sectores, las comunicaciones satelitales están ganando peso como infraestructura estratégica para logística, energía, movilidad, agricultura, defensa, servicios remotos y supervisión de activos, lo que amplía la comprensión habitual del ecosistema digital (Broadband Commission, 2025; ITU, 2025).</w:t>
      </w:r>
    </w:p>
    <w:bookmarkEnd w:id="34"/>
    <w:bookmarkEnd w:id="35"/>
    <w:bookmarkStart w:id="38" w:name="megatendencias-medioambientales"/>
    <w:p>
      <w:pPr>
        <w:pStyle w:val="Heading2"/>
      </w:pPr>
      <w:r>
        <w:t xml:space="preserve">Megatendencias medioambientales</w:t>
      </w:r>
    </w:p>
    <w:p>
      <w:pPr>
        <w:pStyle w:val="FirstParagraph"/>
      </w:pPr>
      <w:r>
        <w:t xml:space="preserve">Las megatendencias medioambientales agrupan fuerzas relacionadas con el clima, la energía, el uso de recursos y la sostenibilidad de los sistemas productivos.</w:t>
      </w:r>
    </w:p>
    <w:bookmarkStart w:id="36" w:name="cambio-climático"/>
    <w:p>
      <w:pPr>
        <w:pStyle w:val="Heading3"/>
      </w:pPr>
      <w:r>
        <w:t xml:space="preserve">Cambio climático</w:t>
      </w:r>
    </w:p>
    <w:p>
      <w:pPr>
        <w:pStyle w:val="FirstParagraph"/>
      </w:pPr>
      <w:r>
        <w:t xml:space="preserve">El cambio climático está alterando las economías nacionales, afectando a infraestructuras, cadenas de suministro, sistemas agrícolas, asegurabilidad de activos y estabilidad operativa. Existen zonas especialmente vulnerables que ya están experimentando impactos significativos, y esto obliga a las empresas a revisar localizaciones, mapas de riesgo, operaciones y planes de continuidad. En consecuencia, la sostenibilidad deja de ser solo una cuestión reputacional y pasa a convertirse en una dimensión material de la estrategia.</w:t>
      </w:r>
    </w:p>
    <w:bookmarkEnd w:id="36"/>
    <w:bookmarkStart w:id="37" w:name="escasez-de-recursos"/>
    <w:p>
      <w:pPr>
        <w:pStyle w:val="Heading3"/>
      </w:pPr>
      <w:r>
        <w:t xml:space="preserve">Escasez de recursos</w:t>
      </w:r>
    </w:p>
    <w:p>
      <w:pPr>
        <w:pStyle w:val="FirstParagraph"/>
      </w:pPr>
      <w:r>
        <w:t xml:space="preserve">La disponibilidad limitada de recursos naturales, materiales críticos, agua y energía constituye otra de las fuerzas más relevantes del entorno contemporáneo. La transición energética y tecnológica, lejos de eliminar esta presión, está desplazando la dependencia hacia minerales estratégicos, infraestructuras críticas y nuevas cadenas de aprovisionamiento. Para muchas organizaciones, esto implica revisar modelos de consumo, eficiencia, circularidad y resiliencia del suministro.</w:t>
      </w:r>
    </w:p>
    <w:bookmarkEnd w:id="37"/>
    <w:bookmarkEnd w:id="38"/>
    <w:bookmarkStart w:id="41" w:name="megatendencias-geopolíticas-y-económicas"/>
    <w:p>
      <w:pPr>
        <w:pStyle w:val="Heading2"/>
      </w:pPr>
      <w:r>
        <w:t xml:space="preserve">Megatendencias geopolíticas y económicas</w:t>
      </w:r>
    </w:p>
    <w:p>
      <w:pPr>
        <w:pStyle w:val="FirstParagraph"/>
      </w:pPr>
      <w:r>
        <w:t xml:space="preserve">Las megatendencias geopolíticas y económicas reúnen aquellas dinámicas que reconfiguran el poder, la industria, el comercio y la seguridad económica global.</w:t>
      </w:r>
    </w:p>
    <w:bookmarkStart w:id="39" w:name="reindustrialización"/>
    <w:p>
      <w:pPr>
        <w:pStyle w:val="Heading3"/>
      </w:pPr>
      <w:r>
        <w:t xml:space="preserve">Reindustrialización</w:t>
      </w:r>
    </w:p>
    <w:p>
      <w:pPr>
        <w:pStyle w:val="FirstParagraph"/>
      </w:pPr>
      <w:r>
        <w:t xml:space="preserve">La fragilidad de algunas cadenas de suministro, la presión por reforzar capacidades estratégicas y la necesidad de modernizar sectores productivos han reactivado el interés por la reindustrialización. Esta no debe entenderse como una vuelta al modelo industrial clásico, sino como una transición hacia una industria más digital, automatizada, sostenible y resiliente. La reindustrialización está estrechamente vinculada a la política industrial, a la soberanía tecnológica y a la capacidad de producir en sectores considerados críticos.</w:t>
      </w:r>
    </w:p>
    <w:bookmarkEnd w:id="39"/>
    <w:bookmarkStart w:id="40" w:name="cambios-en-el-poder-económico-mundial"/>
    <w:p>
      <w:pPr>
        <w:pStyle w:val="Heading3"/>
      </w:pPr>
      <w:r>
        <w:t xml:space="preserve">Cambios en el poder económico mundial</w:t>
      </w:r>
    </w:p>
    <w:p>
      <w:pPr>
        <w:pStyle w:val="FirstParagraph"/>
      </w:pPr>
      <w:r>
        <w:t xml:space="preserve">La globalización continúa, pero lo hace en un contexto de mayor fragmentación, rivalidad tecnológica, regionalización y competencia por el control de infraestructuras, materiales y capacidades clave. El desplazamiento del poder económico hacia nuevas regiones, la pugna por el liderazgo en inteligencia artificial, semiconductores, energía o conectividad, y el uso creciente de instrumentos regulatorios y comerciales como herramientas de poder están redefiniendo el entorno competitivo. Para las empresas, esta tendencia implica una necesidad creciente de lectura geoeconómica, diversificación y preparación ante escenarios menos estables (PwC, 2024; Government Analytica, 2025).</w:t>
      </w:r>
    </w:p>
    <w:bookmarkEnd w:id="40"/>
    <w:bookmarkEnd w:id="41"/>
    <w:bookmarkStart w:id="42" w:name="Xcb4515f147a34b843410204769a3c7354ad9912"/>
    <w:p>
      <w:pPr>
        <w:pStyle w:val="Heading2"/>
      </w:pPr>
      <w:r>
        <w:t xml:space="preserve">Ciclo de vida de las megatendencias sociales</w:t>
      </w:r>
    </w:p>
    <w:p>
      <w:pPr>
        <w:pStyle w:val="FirstParagraph"/>
      </w:pPr>
      <w:r>
        <w:t xml:space="preserve">Las megatendencias generan oportunidades de negocio a través de un ciclo que conecta cambio social, investigación, innovación y reorganización económica. Una tendencia de fondo modifica comportamientos y necesidades; esos cambios abren preguntas de investigación y experimentación; de ahí surgen nuevos productos, servicios y capacidades; y, a su vez, estas soluciones contribuyen a consolidar o acelerar la tendencia inicial. Este ciclo sigue siendo útil para interpretar cómo se transforma el entorno y cómo surgen nuevas oportunidades estratégicas.</w:t>
      </w:r>
    </w:p>
    <w:p>
      <w:pPr>
        <w:pStyle w:val="BodyText"/>
      </w:pPr>
      <w:r>
        <w:t xml:space="preserve">En la economía actual, ese proceso se desarrolla con más velocidad y mayor interacción entre tecnología, regulación, financiación y cambio cultural. Lo que antes podía madurar en ciclos largos hoy se acelera por la convergencia entre datos, plataformas, automatización, presión climática, reorganización geopolítica y nuevas demandas sociales. Por ello, comprender las megatendencias no consiste solo en enumerarlas, sino en interpretar cómo se traducen en decisiones de inversión, nuevos modelos de servicio y rediseños organizativos.</w:t>
      </w:r>
    </w:p>
    <w:p>
      <w:pPr>
        <w:pStyle w:val="BodyText"/>
      </w:pPr>
      <w:r>
        <w:t xml:space="preserve">Reflexiona sobre cada una de estas grandes familias de megatendencias. ¿Cuáles de ellas pueden tener un mayor impacto en tu organización? ¿Cuáles condicionan más directamente la transformación de tu sector? ¿Y en cuáles existe una oportunidad real para redefinir tu modelo de negocio antes que otros actores?</w:t>
      </w:r>
    </w:p>
    <w:bookmarkEnd w:id="42"/>
    <w:bookmarkStart w:id="43" w:name="X0d97601c59e27679a48a9ebb041a64970c8f85d"/>
    <w:p>
      <w:pPr>
        <w:pStyle w:val="Heading2"/>
      </w:pPr>
      <w:r>
        <w:t xml:space="preserve">1.4. El objetivo estratégico de la transformación</w:t>
      </w:r>
    </w:p>
    <w:p>
      <w:pPr>
        <w:pStyle w:val="FirstParagraph"/>
      </w:pPr>
      <w:r>
        <w:t xml:space="preserve">Tal y como se ha planteado en los apartados anteriores, todo proceso de transformación digital debe obedecer a una meta, es decir, a un objetivo estratégico que la empresa se haya fijado como horizonte de cambio. La transformación no constituye un fin en sí mismo, ni puede justificarse únicamente por la presión tecnológica, la imitación de competidores o la necesidad genérica de modernización. Su sentido depende de la capacidad para vincularla con una dirección clara, con prioridades de negocio bien definidas y con resultados observables en el tiempo. Por ello, antes de decidir qué tecnologías adoptar o qué proyectos impulsar, resulta imprescindible distinguir con precisión entre metas generales de negocio, formulación operativa de objetivos y beneficios esperados de la transformación.</w:t>
      </w:r>
    </w:p>
    <w:bookmarkEnd w:id="43"/>
    <w:bookmarkStart w:id="44" w:name="metas-generales-de-negocio"/>
    <w:p>
      <w:pPr>
        <w:pStyle w:val="Heading2"/>
      </w:pPr>
      <w:r>
        <w:t xml:space="preserve">Metas generales de negocio</w:t>
      </w:r>
    </w:p>
    <w:p>
      <w:pPr>
        <w:pStyle w:val="FirstParagraph"/>
      </w:pPr>
      <w:r>
        <w:t xml:space="preserve">Las metas generales de negocio expresan el propósito amplio que justifica el proceso de transformación. Responden a la pregunta de fondo: ¿para qué quiere cambiar la organización? En este nivel suelen situarse aspiraciones como incrementar ventas, crecer en cuota de mercado, fidelizar clientes, mejorar la productividad interna, reducir costes operativos, acortar ciclos comerciales, elevar la calidad del servicio o abrir nuevos modelos de negocio. Estas metas siguen siendo válidas porque conectan la transformación con cuestiones centrales de competitividad, sostenibilidad y creación de valor.</w:t>
      </w:r>
    </w:p>
    <w:p>
      <w:pPr>
        <w:pStyle w:val="BodyText"/>
      </w:pPr>
      <w:r>
        <w:t xml:space="preserve">Sin embargo, una meta general no equivale todavía a un objetivo operativo. Su función principal consiste en fijar dirección y sentido, no en guiar directamente la ejecución. Precisamente por eso, uno de los errores más frecuentes en transformación digital consiste en confundir una aspiración estratégica amplia con un objetivo ya formulado. Expresiones como “ser más digital”, “mejorar la experiencia de cliente” o “aprovechar la inteligencia artificial” pueden ser pertinentes como orientación, pero resultan insuficientes para priorizar iniciativas, asignar recursos o evaluar resultados. La literatura reciente sobre transformación digital insiste en que muchas organizaciones despliegan tecnología sin traducir de forma clara sus ambiciones en focos de valor concretos, lo que debilita la capacidad de generar impacto real (Cavalcante et al., 2025; European Commission, 2025; OECD, 2025).</w:t>
      </w:r>
    </w:p>
    <w:bookmarkEnd w:id="44"/>
    <w:bookmarkStart w:id="45" w:name="formulación-operativa-de-objetivos"/>
    <w:p>
      <w:pPr>
        <w:pStyle w:val="Heading2"/>
      </w:pPr>
      <w:r>
        <w:t xml:space="preserve">Formulación operativa de objetivos</w:t>
      </w:r>
    </w:p>
    <w:p>
      <w:pPr>
        <w:pStyle w:val="FirstParagraph"/>
      </w:pPr>
      <w:r>
        <w:t xml:space="preserve">Una vez establecida la meta general, el siguiente paso consiste en traducirla en objetivos formulados de manera operativa. Este nivel responde a otra pregunta distinta: ¿qué se va a conseguir exactamente, en qué plazo, con qué criterio de medida y mediante qué palancas de acción? La formulación operativa transforma una intención estratégica en una referencia útil para la gestión.</w:t>
      </w:r>
    </w:p>
    <w:p>
      <w:pPr>
        <w:pStyle w:val="BodyText"/>
      </w:pPr>
      <w:r>
        <w:t xml:space="preserve">En este punto, el enfoque SMART sigue siendo una herramienta válida para estructurar objetivos con suficiente claridad. Su utilidad no proviene de una supuesta novedad, sino de que obliga a concretar cinco condiciones mínimas que continúan siendo decisivas en cualquier proceso de transformación: especificidad, medición, alcanzabilidad, relevancia y delimitación temporal (Doran, 1981; Esade, 2025). Aplicado correctamente, este marco ayuda a reducir la ambigüedad y a evitar uno de los problemas más frecuentes en los procesos de cambio: la proliferación de proyectos desconectados de una lógica de resultado.</w:t>
      </w:r>
    </w:p>
    <w:p>
      <w:pPr>
        <w:pStyle w:val="BodyText"/>
      </w:pPr>
      <w:r>
        <w:t xml:space="preserve">Los objetivos SMART se apoyan en cinco componentes básicos:</w:t>
      </w:r>
    </w:p>
    <w:p>
      <w:pPr>
        <w:numPr>
          <w:ilvl w:val="0"/>
          <w:numId w:val="1002"/>
        </w:numPr>
      </w:pPr>
      <w:r>
        <w:rPr>
          <w:b/>
          <w:bCs/>
        </w:rPr>
        <w:t xml:space="preserve">Específico (Specific):</w:t>
      </w:r>
      <w:r>
        <w:t xml:space="preserve"> </w:t>
      </w:r>
      <w:r>
        <w:t xml:space="preserve">concreta qué se quiere conseguir.</w:t>
      </w:r>
    </w:p>
    <w:p>
      <w:pPr>
        <w:numPr>
          <w:ilvl w:val="0"/>
          <w:numId w:val="1002"/>
        </w:numPr>
      </w:pPr>
      <w:r>
        <w:rPr>
          <w:b/>
          <w:bCs/>
        </w:rPr>
        <w:t xml:space="preserve">Medible (Measurable):</w:t>
      </w:r>
      <w:r>
        <w:t xml:space="preserve"> </w:t>
      </w:r>
      <w:r>
        <w:t xml:space="preserve">define indicadores o criterios de seguimiento.</w:t>
      </w:r>
    </w:p>
    <w:p>
      <w:pPr>
        <w:numPr>
          <w:ilvl w:val="0"/>
          <w:numId w:val="1002"/>
        </w:numPr>
      </w:pPr>
      <w:r>
        <w:rPr>
          <w:b/>
          <w:bCs/>
        </w:rPr>
        <w:t xml:space="preserve">Alcanzable (Achievable):</w:t>
      </w:r>
      <w:r>
        <w:t xml:space="preserve"> </w:t>
      </w:r>
      <w:r>
        <w:t xml:space="preserve">plantea una meta exigente, pero viable.</w:t>
      </w:r>
    </w:p>
    <w:p>
      <w:pPr>
        <w:numPr>
          <w:ilvl w:val="0"/>
          <w:numId w:val="1002"/>
        </w:numPr>
      </w:pPr>
      <w:r>
        <w:rPr>
          <w:b/>
          <w:bCs/>
        </w:rPr>
        <w:t xml:space="preserve">Relevante (Relevant):</w:t>
      </w:r>
      <w:r>
        <w:t xml:space="preserve"> </w:t>
      </w:r>
      <w:r>
        <w:t xml:space="preserve">conecta el objetivo con prioridades reales del negocio.</w:t>
      </w:r>
    </w:p>
    <w:p>
      <w:pPr>
        <w:numPr>
          <w:ilvl w:val="0"/>
          <w:numId w:val="1002"/>
        </w:numPr>
      </w:pPr>
      <w:r>
        <w:rPr>
          <w:b/>
          <w:bCs/>
        </w:rPr>
        <w:t xml:space="preserve">Temporal (Time-bound):</w:t>
      </w:r>
      <w:r>
        <w:t xml:space="preserve"> </w:t>
      </w:r>
      <w:r>
        <w:t xml:space="preserve">fija un horizonte de consecución.</w:t>
      </w:r>
    </w:p>
    <w:p>
      <w:pPr>
        <w:pStyle w:val="FirstParagraph"/>
      </w:pPr>
      <w:r>
        <w:t xml:space="preserve">Así, una meta general como “mejorar la productividad comercial” puede convertirse en un objetivo operativo como “reducir en un 20% el tiempo medio de respuesta a oportunidades comerciales durante los próximos nueve meses mediante automatización de flujos, priorización algorítmica de leads e integración de canales de atención”. La diferencia es sustantiva. Mientras la meta general marca la dirección, el objetivo operativo permite alinear decisiones, movilizar recursos, establecer responsables y evaluar avances con criterios verificables.</w:t>
      </w:r>
    </w:p>
    <w:p>
      <w:pPr>
        <w:pStyle w:val="BodyText"/>
      </w:pPr>
      <w:r>
        <w:t xml:space="preserve">No obstante, incluso una buena formulación SMART puede resultar insuficiente si se limita a describir un resultado numérico sin relación clara con la lógica de negocio. Por ello, en transformación digital la formulación operativa debe conectar siempre con las capacidades que se van a desarrollar. No se trata solo de declarar que se desea mejorar un indicador, sino de expresar qué cambio organizativo, tecnológico o relacional hará posible ese avance. Esta cuestión resulta especialmente importante cuando intervienen inteligencia artificial, automatización o nuevas arquitecturas digitales, ya que en estos casos es frecuente desplegar soluciones técnicamente sofisticadas sin haber definido con claridad el problema de negocio que se desea resolver (BCG, 2025; Infosys Knowledge Institute, 2025).</w:t>
      </w:r>
    </w:p>
    <w:bookmarkEnd w:id="45"/>
    <w:bookmarkStart w:id="46" w:name="X44d91e045b8ac536b9a47519c87dab009238742"/>
    <w:p>
      <w:pPr>
        <w:pStyle w:val="Heading2"/>
      </w:pPr>
      <w:r>
        <w:t xml:space="preserve">Beneficios esperados de la transformación</w:t>
      </w:r>
    </w:p>
    <w:p>
      <w:pPr>
        <w:pStyle w:val="FirstParagraph"/>
      </w:pPr>
      <w:r>
        <w:t xml:space="preserve">El tercer plano lo constituyen los beneficios esperados. Estos no equivalen ni a la meta general ni al objetivo operativo, aunque se relacionan con ambos. Los beneficios esperados responden a una pregunta complementaria: si la transformación se ejecuta correctamente, ¿qué mejoras tangibles o intangibles debería producir en la organización? En este nivel suelen aparecer efectos como mayor crecimiento, mejor experiencia de cliente, reducción de costes, incremento de la resiliencia operativa, decisiones más informadas, mayor rapidez de respuesta, más capacidad de innovación o mejor coordinación entre áreas.</w:t>
      </w:r>
    </w:p>
    <w:p>
      <w:pPr>
        <w:pStyle w:val="BodyText"/>
      </w:pPr>
      <w:r>
        <w:t xml:space="preserve">Distinguir este plano resulta importante porque muchas veces los beneficios se presentan como si fueran objetivos en sí mismos, cuando en realidad constituyen los efectos deseados de una estrategia bien planteada y correctamente ejecutada. Por ejemplo, “mejorar la experiencia de cliente” puede operar como meta general; “incrementar en diez puntos la retención de clientes digitales en doce meses” puede funcionar como objetivo operativo; y “aumentar la recurrencia de compra, reducir reclamaciones y mejorar la recomendación de marca” serían beneficios esperados vinculados a ese esfuerzo. Cuando estos niveles no se distinguen, la transformación tiende a volverse conceptualmente confusa y más difícil de gobernar.</w:t>
      </w:r>
    </w:p>
    <w:p>
      <w:pPr>
        <w:pStyle w:val="BodyText"/>
      </w:pPr>
      <w:r>
        <w:t xml:space="preserve">La necesidad de esta diferenciación es todavía mayor en el momento actual. Numerosos informes señalan que muchas organizaciones invierten en iniciativas digitales o de inteligencia artificial sin lograr todavía un retorno claro y sostenido, precisamente porque no delimitan bien qué persiguen, qué valor esperan generar y cómo reconocerán ese valor cuando empiece a producirse (BCG, 2025; Infosys Knowledge Institute, 2025; European Commission, 2025). En estos casos, el problema no suele ser solo tecnológico, sino estratégico y organizativo.</w:t>
      </w:r>
    </w:p>
    <w:bookmarkEnd w:id="46"/>
    <w:bookmarkStart w:id="47" w:name="X124a9451b27af1468ac777518582d993c0c0258"/>
    <w:p>
      <w:pPr>
        <w:pStyle w:val="Heading2"/>
      </w:pPr>
      <w:r>
        <w:t xml:space="preserve">Factores clave para pasar de la estrategia a la acción</w:t>
      </w:r>
    </w:p>
    <w:p>
      <w:pPr>
        <w:pStyle w:val="FirstParagraph"/>
      </w:pPr>
      <w:r>
        <w:t xml:space="preserve">Definir de manera correcta los objetivos y establecer cómo van a medirse sigue siendo un elemento central para el éxito de cualquier transformación. Sin embargo, esa definición solo resulta realmente útil cuando se apoya en la secuencia adecuada: primero aclarar la meta general, después formular objetivos operativos y, por último, explicitar los beneficios esperados. Esta secuencia evita confusiones frecuentes y permite que la transformación avance con una lógica más coherente.</w:t>
      </w:r>
    </w:p>
    <w:p>
      <w:pPr>
        <w:pStyle w:val="BodyText"/>
      </w:pPr>
      <w:r>
        <w:t xml:space="preserve">Aplicar este enfoque aporta varias ventajas. En primer lugar, mejora la asignación de tiempo y recursos, ya que permite priorizar mejor. En segundo lugar, reduce riesgos, porque hace más visibles las expectativas irreales y los desajustes entre ambición y capacidad. En tercer lugar, facilita la mejora continua, al hacer posible el seguimiento del progreso sobre la base de evidencias. Finalmente, mejora la comunicación interna, dado que cada actor puede comprender mejor qué propósito general orienta la transformación, qué objetivos concretos debe perseguir y qué beneficios se espera obtener del proceso.</w:t>
      </w:r>
    </w:p>
    <w:p>
      <w:pPr>
        <w:pStyle w:val="BodyText"/>
      </w:pPr>
      <w:r>
        <w:t xml:space="preserve">En definitiva, una transformación digital bien orientada no empieza por la tecnología, sino por la claridad estratégica. La empresa necesita saber qué meta general desea alcanzar, cómo se traduce esa meta en objetivos operativos y qué beneficios concretos espera derivar de ello. Solo a partir de esa diferenciación resulta posible decidir con sentido qué iniciativas deben priorizarse, qué capacidades deben desarrollarse y cómo evaluar si la transformación está produciendo verdadero valor.</w:t>
      </w:r>
    </w:p>
    <w:bookmarkEnd w:id="47"/>
    <w:bookmarkStart w:id="48" w:name="X2fb9fb4ffe0cb28de5f89b3ff4ac2a1eebffcbf"/>
    <w:p>
      <w:pPr>
        <w:pStyle w:val="Heading2"/>
      </w:pPr>
      <w:r>
        <w:t xml:space="preserve">1.5. Las tres palancas principales: visión, estrategia y cambio</w:t>
      </w:r>
    </w:p>
    <w:p>
      <w:pPr>
        <w:pStyle w:val="FirstParagraph"/>
      </w:pPr>
      <w:r>
        <w:t xml:space="preserve">Existen tres palancas principales en las que todo proceso de transformación debe apoyarse: visión, estrategia y cambio. Estas tres dimensiones no actúan por separado, ni pueden desarrollarse de manera secuencial y cerrada. La visión aporta dirección, la estrategia traduce esa dirección en prioridades y decisiones, y el cambio permite que la organización incorpore de forma efectiva nuevas formas de trabajar, decidir y crear valor. Cuando una de estas tres palancas falla, la transformación pierde consistencia: puede haber iniciativas sin rumbo, tecnología sin integración o proyectos técnicamente correctos que no llegan a producir resultados duraderos.</w:t>
      </w:r>
    </w:p>
    <w:p>
      <w:pPr>
        <w:pStyle w:val="BodyText"/>
      </w:pPr>
      <w:r>
        <w:t xml:space="preserve">Lo importante, por tanto, no es solo identificar las tres palancas, sino comprender su relación dinámica. La visión sin estrategia corre el riesgo de quedar en una declaración inspiradora sin capacidad de ejecución. La estrategia sin visión tiende a fragmentarse en iniciativas parciales sin orientación suficiente. Y tanto la visión como la estrategia resultan insuficientes si la organización no desarrolla la capacidad de sostener el cambio en el tiempo. Por ello, la transformación digital debe entenderse desde el principio como un proceso de ejecución sostenida, en el que estas tres palancas se refuerzan mutuamente y solo adquieren pleno sentido cuando operan de manera coordinada (Prosci, 2026).</w:t>
      </w:r>
    </w:p>
    <w:bookmarkEnd w:id="48"/>
    <w:bookmarkStart w:id="49" w:name="visión"/>
    <w:p>
      <w:pPr>
        <w:pStyle w:val="Heading2"/>
      </w:pPr>
      <w:r>
        <w:t xml:space="preserve">Visión</w:t>
      </w:r>
    </w:p>
    <w:p>
      <w:pPr>
        <w:pStyle w:val="FirstParagraph"/>
      </w:pPr>
      <w:r>
        <w:t xml:space="preserve">Toda transformación debe partir de la existencia de una visión a medio plazo sobre hacia dónde quiere ir la empresa y en qué quiere convertirse. Esa visión no tiene por qué formularse como una imagen rígida del futuro, pero sí debe ofrecer una orientación suficientemente clara como para dar coherencia a las decisiones posteriores. En este contexto, la visión cumple una función de encuadre: ayuda a interpretar por qué la organización necesita transformarse, qué tipo de capacidades desea desarrollar y qué posición aspira a ocupar en un entorno cada vez más digital, interdependiente e incierto.</w:t>
      </w:r>
    </w:p>
    <w:p>
      <w:pPr>
        <w:pStyle w:val="BodyText"/>
      </w:pPr>
      <w:r>
        <w:t xml:space="preserve">Ahora bien, la visión solo resulta útil cuando puede sostener una trayectoria de transformación y no simplemente inaugurarla. En el contexto actual, donde muchas organizaciones incorporan inteligencia artificial, automatización, nuevas arquitecturas de datos y formas más distribuidas de operación, la visión debe ir más allá de prometer innovación o modernización. Debe expresar con claridad qué tipo de empresa se quiere construir y qué continuidad estratégica exige esa aspiración. Una visión útil no es solo la que orienta la salida, sino la que ayuda a mantener el rumbo cuando la transformación encuentra tensiones, aprendizajes inesperados o necesidad de ajuste.</w:t>
      </w:r>
    </w:p>
    <w:bookmarkEnd w:id="49"/>
    <w:bookmarkStart w:id="50" w:name="estrategia"/>
    <w:p>
      <w:pPr>
        <w:pStyle w:val="Heading2"/>
      </w:pPr>
      <w:r>
        <w:t xml:space="preserve">Estrategia</w:t>
      </w:r>
    </w:p>
    <w:p>
      <w:pPr>
        <w:pStyle w:val="FirstParagraph"/>
      </w:pPr>
      <w:r>
        <w:t xml:space="preserve">La visión debe ir acompañada de una estrategia concreta. La estrategia constituye el plan que orienta cómo llegar al punto deseado, qué esfuerzos se van a realizar, con qué recursos se contará y qué hitos se consideran prioritarios. Mientras la visión responde a la pregunta de hacia dónde quiere dirigirse la organización, la estrategia responde a cómo va a avanzar y qué elecciones va a realizar para hacerlo posible.</w:t>
      </w:r>
    </w:p>
    <w:p>
      <w:pPr>
        <w:pStyle w:val="BodyText"/>
      </w:pPr>
      <w:r>
        <w:t xml:space="preserve">Sin embargo, una estrategia de transformación no puede reducirse a una suma de proyectos tecnológicos. Debe ordenar prioridades, reconocer dependencias, secuenciar esfuerzos y vincular cada iniciativa con capacidades reales de ejecución. En este sentido, la estrategia cumple una función de traducción: convierte la ambición general en una cartera coherente de decisiones sobre procesos, datos, talento, gobierno, experiencia de cliente, arquitectura tecnológica y ritmo de despliegue. Además, la estrategia debe ser lo bastante robusta para orientar y lo bastante flexible para corregir. Una transformación sostenida no sigue un recorrido lineal; exige revisar hipótesis, ajustar prioridades y reasignar recursos sin perder coherencia de fondo.</w:t>
      </w:r>
    </w:p>
    <w:p>
      <w:pPr>
        <w:pStyle w:val="BodyText"/>
      </w:pPr>
      <w:r>
        <w:t xml:space="preserve">Por esta razón, la calidad de la estrategia no se mide solo por la precisión del diseño inicial, sino por su capacidad para sostener decisiones a lo largo del tiempo. Muchas organizaciones inician programas de transformación con diagnósticos prometedores, pero pierden consistencia cuando aparecen tensiones entre áreas, sobrecarga de iniciativas, resistencia operativa o dificultad para demostrar valor. La estrategia debe anticipar ese problema y evitar que la transformación se convierta en una sucesión de esfuerzos aislados. Su función no es solo seleccionar qué hacer, sino también preservar continuidad y foco a medida que el entorno cambia.</w:t>
      </w:r>
    </w:p>
    <w:bookmarkEnd w:id="50"/>
    <w:bookmarkStart w:id="51" w:name="cambio"/>
    <w:p>
      <w:pPr>
        <w:pStyle w:val="Heading2"/>
      </w:pPr>
      <w:r>
        <w:t xml:space="preserve">Cambio</w:t>
      </w:r>
    </w:p>
    <w:p>
      <w:pPr>
        <w:pStyle w:val="FirstParagraph"/>
      </w:pPr>
      <w:r>
        <w:t xml:space="preserve">La tercera palanca, y probablemente la más decisiva en la práctica, es el cambio. Ninguna visión y ninguna estrategia producen por sí mismas una transformación real si la organización no desarrolla la capacidad de modificar comportamientos, rutinas, incentivos, relaciones y formas de trabajo. Por ello, hablar de cambio no equivale únicamente a gestionar resistencias o comunicar mejor los proyectos, sino a preparar a las personas y a la organización para operar de otra manera.</w:t>
      </w:r>
    </w:p>
    <w:p>
      <w:pPr>
        <w:pStyle w:val="BodyText"/>
      </w:pPr>
      <w:r>
        <w:t xml:space="preserve">Este cambio no puede entenderse como una fase final que llega una vez definidas la visión y la estrategia. Está presente desde el comienzo y condiciona la posibilidad misma de ejecutar lo previsto. A medida que la transformación digital se vuelve más continua y menos episódica, la capacidad de adaptación deja de ser un complemento deseable y pasa a convertirse en una competencia central. Las organizaciones que mejor evolucionan no son necesariamente las que lanzan más iniciativas, sino las que desarrollan una mayor capacidad para sostener nuevas prácticas, integrar aprendizaje y evitar que cada nueva ola de transformación vuelva a empezar desde cero. La literatura reciente sobre gestión del cambio insiste precisamente en este punto: la tecnología, por sí sola, no garantiza resultados; los resultados dependen de cómo cambian efectivamente las personas, los equipos y la organización en su conjunto (Prosci, 2026).</w:t>
      </w:r>
    </w:p>
    <w:bookmarkEnd w:id="51"/>
    <w:bookmarkStart w:id="52" w:name="una-carrera-de-fondo"/>
    <w:p>
      <w:pPr>
        <w:pStyle w:val="Heading2"/>
      </w:pPr>
      <w:r>
        <w:t xml:space="preserve">Una carrera de fondo</w:t>
      </w:r>
    </w:p>
    <w:p>
      <w:pPr>
        <w:pStyle w:val="FirstParagraph"/>
      </w:pPr>
      <w:r>
        <w:t xml:space="preserve">Los procesos de transformación digital requieren, por término medio, varios años, pero su sostenibilidad depende de que se entiendan como procesos de mejora continua y no como proyectos cerrados con un final nítido. Por este motivo, la expresión “una carrera de fondo” no debe leerse como una simple observación complementaria, sino como la consecuencia natural de la interacción entre visión, estrategia y cambio. La visión da continuidad al propósito, la estrategia ordena la trayectoria y el cambio hace posible mantener el esfuerzo sin que la organización se fracture o se agote.</w:t>
      </w:r>
    </w:p>
    <w:p>
      <w:pPr>
        <w:pStyle w:val="BodyText"/>
      </w:pPr>
      <w:r>
        <w:t xml:space="preserve">Dada la importancia de una implementación efectiva, los líderes deben implicarse plenamente en el esfuerzo de transformación. La falta de compromiso del liderazgo puede poner en riesgo cualquier iniciativa relevante, no solo porque reduzca la prioridad percibida del cambio, sino porque debilita la coherencia entre discurso, decisiones y comportamientos observables. Los equipos directivos no solo tienen que aprobar proyectos o asignar recursos, sino también sostener la dirección, modelar conductas, identificar puntos ciegos y mantener legitimidad cuando el proceso se vuelve exigente. En una ejecución sostenida, el liderazgo no es un gesto inicial, sino una práctica continuada.</w:t>
      </w:r>
    </w:p>
    <w:p>
      <w:pPr>
        <w:pStyle w:val="BodyText"/>
      </w:pPr>
      <w:r>
        <w:t xml:space="preserve">También resulta fundamental dedicar tiempo a decidir qué recursos, habilidades y perfiles pueden apoyar mejor la transformación. A medida que las iniciativas digitales abarcan más unidades de negocio, incorporan más tecnología y exigen mayor coordinación transversal, se vuelve más difícil para los empleados concentrarse en las actividades adecuadas. Por ello, además de comunicar con frecuencia, la dirección necesita ayudar a priorizar, clarificar qué tareas generan valor y evitar que la transformación se convierta en una capa adicional de complejidad sin reorganización real del trabajo. Una transformación sostenida requiere foco, secuencia y capacidad de absorción, no solo entusiasmo inicial.</w:t>
      </w:r>
    </w:p>
    <w:p>
      <w:pPr>
        <w:pStyle w:val="BodyText"/>
      </w:pPr>
      <w:r>
        <w:t xml:space="preserve">Por último, una transformación digital exige flexibilidad y agilidad tanto de los líderes como de los equipos. Es importante que existan acciones concretas, hitos y mecanismos de seguimiento, pero también que la organización sea capaz de revisar supuestos, ajustar decisiones y pivotar cuando los indicadores o el entorno lo exigen. En este sentido, la agilidad no debe entenderse como improvisación, sino como la forma operativa que adopta una ejecución sostenida cuando se enfrenta a un entorno cambiante. La empresa que transforma de manera consistente no es la que ejecuta un plan inalterable, sino la que sabe mantener dirección mientras aprende, corrige y reconfigura esfuerzos sin perder cohesión.</w:t>
      </w:r>
    </w:p>
    <w:bookmarkEnd w:id="52"/>
    <w:bookmarkStart w:id="53" w:name="referencias-bibliográficas"/>
    <w:p>
      <w:pPr>
        <w:pStyle w:val="Heading2"/>
      </w:pPr>
      <w:r>
        <w:t xml:space="preserve">1.6. Referencias bibliográficas</w:t>
      </w:r>
    </w:p>
    <w:p>
      <w:pPr>
        <w:pStyle w:val="FirstParagraph"/>
      </w:pPr>
      <w:r>
        <w:t xml:space="preserve">Aon. (2025).</w:t>
      </w:r>
      <w:r>
        <w:t xml:space="preserve"> </w:t>
      </w:r>
      <w:r>
        <w:rPr>
          <w:i/>
          <w:iCs/>
        </w:rPr>
        <w:t xml:space="preserve">Aon identifies 4 megatrends reshaping business decision-making</w:t>
      </w:r>
      <w:r>
        <w:t xml:space="preserve">.</w:t>
      </w:r>
    </w:p>
    <w:p>
      <w:pPr>
        <w:pStyle w:val="BodyText"/>
      </w:pPr>
      <w:r>
        <w:t xml:space="preserve">BCG. (2025).</w:t>
      </w:r>
      <w:r>
        <w:t xml:space="preserve"> </w:t>
      </w:r>
      <w:r>
        <w:rPr>
          <w:i/>
          <w:iCs/>
        </w:rPr>
        <w:t xml:space="preserve">Are you generating value from AI? The widening gap</w:t>
      </w:r>
      <w:r>
        <w:t xml:space="preserve">.</w:t>
      </w:r>
    </w:p>
    <w:p>
      <w:pPr>
        <w:pStyle w:val="BodyText"/>
      </w:pPr>
      <w:r>
        <w:t xml:space="preserve">Broadband Commission. (2025).</w:t>
      </w:r>
      <w:r>
        <w:t xml:space="preserve"> </w:t>
      </w:r>
      <w:r>
        <w:rPr>
          <w:i/>
          <w:iCs/>
        </w:rPr>
        <w:t xml:space="preserve">State of Broadband 2025</w:t>
      </w:r>
      <w:r>
        <w:t xml:space="preserve">.</w:t>
      </w:r>
    </w:p>
    <w:p>
      <w:pPr>
        <w:pStyle w:val="BodyText"/>
      </w:pPr>
      <w:r>
        <w:t xml:space="preserve">Cavalcante, S., Figueiredo, K., Reichert, F. M., &amp; Zawislak, P. A. (2025).</w:t>
      </w:r>
      <w:r>
        <w:t xml:space="preserve"> </w:t>
      </w:r>
      <w:r>
        <w:rPr>
          <w:i/>
          <w:iCs/>
        </w:rPr>
        <w:t xml:space="preserve">Digital transformation initiatives: Motivations, objectives, and outcomes</w:t>
      </w:r>
      <w:r>
        <w:t xml:space="preserve">.</w:t>
      </w:r>
    </w:p>
    <w:p>
      <w:pPr>
        <w:pStyle w:val="BodyText"/>
      </w:pPr>
      <w:r>
        <w:t xml:space="preserve">CIO. (2025).</w:t>
      </w:r>
      <w:r>
        <w:t xml:space="preserve"> </w:t>
      </w:r>
      <w:r>
        <w:rPr>
          <w:i/>
          <w:iCs/>
        </w:rPr>
        <w:t xml:space="preserve">Digital transformation 2025: What’s in, what’s out</w:t>
      </w:r>
      <w:r>
        <w:t xml:space="preserve">.</w:t>
      </w:r>
    </w:p>
    <w:p>
      <w:pPr>
        <w:pStyle w:val="BodyText"/>
      </w:pPr>
      <w:r>
        <w:t xml:space="preserve">Doran, G. T. (1981). There’s a S.M.A.R.T. way to write management’s goals and objectives.</w:t>
      </w:r>
      <w:r>
        <w:t xml:space="preserve"> </w:t>
      </w:r>
      <w:r>
        <w:rPr>
          <w:i/>
          <w:iCs/>
        </w:rPr>
        <w:t xml:space="preserve">Management Review, 70</w:t>
      </w:r>
      <w:r>
        <w:t xml:space="preserve">, 35–36.</w:t>
      </w:r>
    </w:p>
    <w:p>
      <w:pPr>
        <w:pStyle w:val="BodyText"/>
      </w:pPr>
      <w:r>
        <w:t xml:space="preserve">Esade. (2025).</w:t>
      </w:r>
      <w:r>
        <w:t xml:space="preserve"> </w:t>
      </w:r>
      <w:r>
        <w:rPr>
          <w:i/>
          <w:iCs/>
        </w:rPr>
        <w:t xml:space="preserve">How to create SMART goals for your company</w:t>
      </w:r>
      <w:r>
        <w:t xml:space="preserve">.</w:t>
      </w:r>
    </w:p>
    <w:p>
      <w:pPr>
        <w:pStyle w:val="BodyText"/>
      </w:pPr>
      <w:r>
        <w:t xml:space="preserve">European Commission. (2025).</w:t>
      </w:r>
      <w:r>
        <w:t xml:space="preserve"> </w:t>
      </w:r>
      <w:r>
        <w:rPr>
          <w:i/>
          <w:iCs/>
        </w:rPr>
        <w:t xml:space="preserve">2025 State of the Digital Decade package</w:t>
      </w:r>
      <w:r>
        <w:t xml:space="preserve">.</w:t>
      </w:r>
    </w:p>
    <w:p>
      <w:pPr>
        <w:pStyle w:val="BodyText"/>
      </w:pPr>
      <w:r>
        <w:t xml:space="preserve">Fundación Innovación Bankinter. (2025).</w:t>
      </w:r>
      <w:r>
        <w:t xml:space="preserve"> </w:t>
      </w:r>
      <w:r>
        <w:rPr>
          <w:i/>
          <w:iCs/>
        </w:rPr>
        <w:t xml:space="preserve">Megatrends 2025</w:t>
      </w:r>
      <w:r>
        <w:t xml:space="preserve">.</w:t>
      </w:r>
    </w:p>
    <w:p>
      <w:pPr>
        <w:pStyle w:val="BodyText"/>
      </w:pPr>
      <w:r>
        <w:t xml:space="preserve">Government Analytica. (2025).</w:t>
      </w:r>
      <w:r>
        <w:t xml:space="preserve"> </w:t>
      </w:r>
      <w:r>
        <w:rPr>
          <w:i/>
          <w:iCs/>
        </w:rPr>
        <w:t xml:space="preserve">Top 12 geopolitical megatrends</w:t>
      </w:r>
      <w:r>
        <w:t xml:space="preserve">.</w:t>
      </w:r>
    </w:p>
    <w:p>
      <w:pPr>
        <w:pStyle w:val="BodyText"/>
      </w:pPr>
      <w:r>
        <w:t xml:space="preserve">Hoffmann, M., Boysel, S., Nagle, F., Peng, S., &amp; Xu, K. (2025).</w:t>
      </w:r>
      <w:r>
        <w:t xml:space="preserve"> </w:t>
      </w:r>
      <w:r>
        <w:rPr>
          <w:i/>
          <w:iCs/>
        </w:rPr>
        <w:t xml:space="preserve">Generative AI and the nature of work</w:t>
      </w:r>
      <w:r>
        <w:t xml:space="preserve"> </w:t>
      </w:r>
      <w:r>
        <w:t xml:space="preserve">(Harvard Business School Strategy Unit Working Paper No. 25-021).</w:t>
      </w:r>
    </w:p>
    <w:p>
      <w:pPr>
        <w:pStyle w:val="BodyText"/>
      </w:pPr>
      <w:r>
        <w:t xml:space="preserve">Infosys Knowledge Institute. (2025).</w:t>
      </w:r>
      <w:r>
        <w:t xml:space="preserve"> </w:t>
      </w:r>
      <w:r>
        <w:rPr>
          <w:i/>
          <w:iCs/>
        </w:rPr>
        <w:t xml:space="preserve">AI Business Value Radar 2025</w:t>
      </w:r>
      <w:r>
        <w:t xml:space="preserve">.</w:t>
      </w:r>
    </w:p>
    <w:p>
      <w:pPr>
        <w:pStyle w:val="BodyText"/>
      </w:pPr>
      <w:r>
        <w:t xml:space="preserve">ITU. (2025).</w:t>
      </w:r>
      <w:r>
        <w:t xml:space="preserve"> </w:t>
      </w:r>
      <w:r>
        <w:rPr>
          <w:i/>
          <w:iCs/>
        </w:rPr>
        <w:t xml:space="preserve">The State of Satellite Broadband 2025</w:t>
      </w:r>
      <w:r>
        <w:t xml:space="preserve">.</w:t>
      </w:r>
    </w:p>
    <w:p>
      <w:pPr>
        <w:pStyle w:val="BodyText"/>
      </w:pPr>
      <w:r>
        <w:t xml:space="preserve">Kohtamäki, M., Leminen, S., &amp; Parida, V. (2024). Conceptualizing digital business models (DBM): Framing the interplay between digitalization and business models.</w:t>
      </w:r>
      <w:r>
        <w:t xml:space="preserve"> </w:t>
      </w:r>
      <w:r>
        <w:rPr>
          <w:i/>
          <w:iCs/>
        </w:rPr>
        <w:t xml:space="preserve">Technovation, 133</w:t>
      </w:r>
      <w:r>
        <w:t xml:space="preserve">, Article 103013.</w:t>
      </w:r>
    </w:p>
    <w:p>
      <w:pPr>
        <w:pStyle w:val="BodyText"/>
      </w:pPr>
      <w:r>
        <w:t xml:space="preserve">Laudien, S. M., Pesch, R., &amp; Daxböck, B. (2024). Digital technology and business model innovation: A systematic literature review and future research agenda.</w:t>
      </w:r>
      <w:r>
        <w:t xml:space="preserve"> </w:t>
      </w:r>
      <w:r>
        <w:rPr>
          <w:i/>
          <w:iCs/>
        </w:rPr>
        <w:t xml:space="preserve">Technological Forecasting and Social Change, 199</w:t>
      </w:r>
      <w:r>
        <w:t xml:space="preserve">, Article 123041.</w:t>
      </w:r>
    </w:p>
    <w:p>
      <w:pPr>
        <w:pStyle w:val="BodyText"/>
      </w:pPr>
      <w:r>
        <w:t xml:space="preserve">Martín-Peña, M.-L., Lorenzo, P. C., &amp; Meyer, N. (2024). Digital platforms and business ecosystems: A multidisciplinary approach for new and sustainable business models.</w:t>
      </w:r>
      <w:r>
        <w:t xml:space="preserve"> </w:t>
      </w:r>
      <w:r>
        <w:rPr>
          <w:i/>
          <w:iCs/>
        </w:rPr>
        <w:t xml:space="preserve">Review of Managerial Science, 18</w:t>
      </w:r>
      <w:r>
        <w:t xml:space="preserve">(9), 2465–2482.</w:t>
      </w:r>
    </w:p>
    <w:p>
      <w:pPr>
        <w:pStyle w:val="BodyText"/>
      </w:pPr>
      <w:r>
        <w:t xml:space="preserve">McKinsey &amp; Company. (2024).</w:t>
      </w:r>
      <w:r>
        <w:t xml:space="preserve"> </w:t>
      </w:r>
      <w:r>
        <w:rPr>
          <w:i/>
          <w:iCs/>
        </w:rPr>
        <w:t xml:space="preserve">State of AI in early 2024</w:t>
      </w:r>
      <w:r>
        <w:t xml:space="preserve">.</w:t>
      </w:r>
    </w:p>
    <w:p>
      <w:pPr>
        <w:pStyle w:val="BodyText"/>
      </w:pPr>
      <w:r>
        <w:t xml:space="preserve">McKinsey &amp; Company. (2025).</w:t>
      </w:r>
      <w:r>
        <w:t xml:space="preserve"> </w:t>
      </w:r>
      <w:r>
        <w:rPr>
          <w:i/>
          <w:iCs/>
        </w:rPr>
        <w:t xml:space="preserve">How change management can address radical transformation</w:t>
      </w:r>
      <w:r>
        <w:t xml:space="preserve">.</w:t>
      </w:r>
    </w:p>
    <w:p>
      <w:pPr>
        <w:pStyle w:val="BodyText"/>
      </w:pPr>
      <w:r>
        <w:t xml:space="preserve">Mollick, E. (2024).</w:t>
      </w:r>
      <w:r>
        <w:t xml:space="preserve"> </w:t>
      </w:r>
      <w:r>
        <w:rPr>
          <w:i/>
          <w:iCs/>
        </w:rPr>
        <w:t xml:space="preserve">Co-intelligence: Living and working with AI</w:t>
      </w:r>
      <w:r>
        <w:t xml:space="preserve">. Portfolio.</w:t>
      </w:r>
    </w:p>
    <w:p>
      <w:pPr>
        <w:pStyle w:val="BodyText"/>
      </w:pPr>
      <w:r>
        <w:t xml:space="preserve">OECD. (2025).</w:t>
      </w:r>
      <w:r>
        <w:t xml:space="preserve"> </w:t>
      </w:r>
      <w:r>
        <w:rPr>
          <w:i/>
          <w:iCs/>
        </w:rPr>
        <w:t xml:space="preserve">Digital transformation</w:t>
      </w:r>
      <w:r>
        <w:t xml:space="preserve">.</w:t>
      </w:r>
    </w:p>
    <w:p>
      <w:pPr>
        <w:pStyle w:val="BodyText"/>
      </w:pPr>
      <w:r>
        <w:t xml:space="preserve">Prosci. (2026).</w:t>
      </w:r>
      <w:r>
        <w:t xml:space="preserve"> </w:t>
      </w:r>
      <w:r>
        <w:rPr>
          <w:i/>
          <w:iCs/>
        </w:rPr>
        <w:t xml:space="preserve">Digital transformation trends in 2025 and beyond</w:t>
      </w:r>
      <w:r>
        <w:t xml:space="preserve">.</w:t>
      </w:r>
    </w:p>
    <w:p>
      <w:pPr>
        <w:pStyle w:val="BodyText"/>
      </w:pPr>
      <w:r>
        <w:t xml:space="preserve">PwC. (2024).</w:t>
      </w:r>
      <w:r>
        <w:t xml:space="preserve"> </w:t>
      </w:r>
      <w:r>
        <w:rPr>
          <w:i/>
          <w:iCs/>
        </w:rPr>
        <w:t xml:space="preserve">Megatrends</w:t>
      </w:r>
      <w:r>
        <w:t xml:space="preserve">.</w:t>
      </w:r>
    </w:p>
    <w:p>
      <w:pPr>
        <w:pStyle w:val="BodyText"/>
      </w:pPr>
      <w:r>
        <w:t xml:space="preserve">Sviokla, J. (2018).</w:t>
      </w:r>
      <w:r>
        <w:t xml:space="preserve"> </w:t>
      </w:r>
      <w:r>
        <w:rPr>
          <w:i/>
          <w:iCs/>
        </w:rPr>
        <w:t xml:space="preserve">How to know what business you’re really in</w:t>
      </w:r>
      <w:r>
        <w:t xml:space="preserve">. Harvard Business Review.</w:t>
      </w:r>
    </w:p>
    <w:p>
      <w:pPr>
        <w:pStyle w:val="BodyText"/>
      </w:pPr>
      <w:r>
        <w:t xml:space="preserve">World Economic Forum. (2025).</w:t>
      </w:r>
      <w:r>
        <w:t xml:space="preserve"> </w:t>
      </w:r>
      <w:r>
        <w:rPr>
          <w:i/>
          <w:iCs/>
        </w:rPr>
        <w:t xml:space="preserve">Top 10 emerging technologies of 2025</w:t>
      </w:r>
      <w:r>
        <w:t xml:space="preserve">.</w:t>
      </w:r>
    </w:p>
    <w:bookmarkEnd w:id="53"/>
    <w:bookmarkEnd w:id="54"/>
    <w:sectPr w:rsidR="002D7CC7">
      <w:pgSz w:w="11910" w:h="16840"/>
      <w:pgMar w:top="1360" w:right="66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ingdings 3">
    <w:altName w:val="Wingdings 3"/>
    <w:panose1 w:val="05040102010807070707"/>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1443BB"/>
    <w:multiLevelType w:val="multilevel"/>
    <w:tmpl w:val="A2EA5F7E"/>
    <w:lvl w:ilvl="0">
      <w:start w:val="1"/>
      <w:numFmt w:val="decimal"/>
      <w:lvlText w:val="%1"/>
      <w:lvlJc w:val="left"/>
      <w:pPr>
        <w:ind w:left="5239" w:hanging="420"/>
        <w:jc w:val="left"/>
      </w:pPr>
      <w:rPr>
        <w:rFonts w:hint="default"/>
        <w:lang w:val="es-AR" w:eastAsia="es-AR" w:bidi="es-AR"/>
      </w:rPr>
    </w:lvl>
    <w:lvl w:ilvl="1">
      <w:start w:val="1"/>
      <w:numFmt w:val="decimal"/>
      <w:lvlText w:val="%1.%2."/>
      <w:lvlJc w:val="left"/>
      <w:pPr>
        <w:ind w:left="5239" w:hanging="420"/>
        <w:jc w:val="left"/>
      </w:pPr>
      <w:rPr>
        <w:rFonts w:ascii="Calibri" w:eastAsia="Calibri" w:hAnsi="Calibri" w:cs="Calibri" w:hint="default"/>
        <w:color w:val="333333"/>
        <w:w w:val="100"/>
        <w:sz w:val="24"/>
        <w:szCs w:val="24"/>
        <w:lang w:val="es-AR" w:eastAsia="es-AR" w:bidi="es-AR"/>
      </w:rPr>
    </w:lvl>
    <w:lvl w:ilvl="2">
      <w:numFmt w:val="bullet"/>
      <w:lvlText w:val="•"/>
      <w:lvlJc w:val="left"/>
      <w:pPr>
        <w:ind w:left="6441" w:hanging="420"/>
      </w:pPr>
      <w:rPr>
        <w:rFonts w:hint="default"/>
        <w:lang w:val="es-AR" w:eastAsia="es-AR" w:bidi="es-AR"/>
      </w:rPr>
    </w:lvl>
    <w:lvl w:ilvl="3">
      <w:numFmt w:val="bullet"/>
      <w:lvlText w:val="•"/>
      <w:lvlJc w:val="left"/>
      <w:pPr>
        <w:ind w:left="7041" w:hanging="420"/>
      </w:pPr>
      <w:rPr>
        <w:rFonts w:hint="default"/>
        <w:lang w:val="es-AR" w:eastAsia="es-AR" w:bidi="es-AR"/>
      </w:rPr>
    </w:lvl>
    <w:lvl w:ilvl="4">
      <w:numFmt w:val="bullet"/>
      <w:lvlText w:val="•"/>
      <w:lvlJc w:val="left"/>
      <w:pPr>
        <w:ind w:left="7642" w:hanging="420"/>
      </w:pPr>
      <w:rPr>
        <w:rFonts w:hint="default"/>
        <w:lang w:val="es-AR" w:eastAsia="es-AR" w:bidi="es-AR"/>
      </w:rPr>
    </w:lvl>
    <w:lvl w:ilvl="5">
      <w:numFmt w:val="bullet"/>
      <w:lvlText w:val="•"/>
      <w:lvlJc w:val="left"/>
      <w:pPr>
        <w:ind w:left="8243" w:hanging="420"/>
      </w:pPr>
      <w:rPr>
        <w:rFonts w:hint="default"/>
        <w:lang w:val="es-AR" w:eastAsia="es-AR" w:bidi="es-AR"/>
      </w:rPr>
    </w:lvl>
    <w:lvl w:ilvl="6">
      <w:numFmt w:val="bullet"/>
      <w:lvlText w:val="•"/>
      <w:lvlJc w:val="left"/>
      <w:pPr>
        <w:ind w:left="8843" w:hanging="420"/>
      </w:pPr>
      <w:rPr>
        <w:rFonts w:hint="default"/>
        <w:lang w:val="es-AR" w:eastAsia="es-AR" w:bidi="es-AR"/>
      </w:rPr>
    </w:lvl>
    <w:lvl w:ilvl="7">
      <w:numFmt w:val="bullet"/>
      <w:lvlText w:val="•"/>
      <w:lvlJc w:val="left"/>
      <w:pPr>
        <w:ind w:left="9444" w:hanging="420"/>
      </w:pPr>
      <w:rPr>
        <w:rFonts w:hint="default"/>
        <w:lang w:val="es-AR" w:eastAsia="es-AR" w:bidi="es-AR"/>
      </w:rPr>
    </w:lvl>
    <w:lvl w:ilvl="8">
      <w:numFmt w:val="bullet"/>
      <w:lvlText w:val="•"/>
      <w:lvlJc w:val="left"/>
      <w:pPr>
        <w:ind w:left="10045" w:hanging="420"/>
      </w:pPr>
      <w:rPr>
        <w:rFonts w:hint="default"/>
        <w:lang w:val="es-AR" w:eastAsia="es-AR" w:bidi="es-AR"/>
      </w:rPr>
    </w:lvl>
  </w:abstractNum>
  <w:abstractNum w:abstractNumId="1" w15:restartNumberingAfterBreak="0">
    <w:nsid w:val="4B610BC4"/>
    <w:multiLevelType w:val="multilevel"/>
    <w:tmpl w:val="F1A28D68"/>
    <w:lvl w:ilvl="0">
      <w:start w:val="1"/>
      <w:numFmt w:val="decimal"/>
      <w:lvlText w:val="%1"/>
      <w:lvlJc w:val="left"/>
      <w:pPr>
        <w:ind w:left="2544" w:hanging="701"/>
        <w:jc w:val="left"/>
      </w:pPr>
      <w:rPr>
        <w:rFonts w:hint="default"/>
        <w:lang w:val="es-AR" w:eastAsia="es-AR" w:bidi="es-AR"/>
      </w:rPr>
    </w:lvl>
    <w:lvl w:ilvl="1">
      <w:start w:val="1"/>
      <w:numFmt w:val="decimal"/>
      <w:lvlText w:val="%1.%2."/>
      <w:lvlJc w:val="left"/>
      <w:pPr>
        <w:ind w:left="2544" w:hanging="701"/>
        <w:jc w:val="left"/>
      </w:pPr>
      <w:rPr>
        <w:rFonts w:ascii="Calibri" w:eastAsia="Calibri" w:hAnsi="Calibri" w:cs="Calibri" w:hint="default"/>
        <w:color w:val="0097CD"/>
        <w:spacing w:val="-1"/>
        <w:w w:val="100"/>
        <w:sz w:val="40"/>
        <w:szCs w:val="40"/>
        <w:lang w:val="es-AR" w:eastAsia="es-AR" w:bidi="es-AR"/>
      </w:rPr>
    </w:lvl>
    <w:lvl w:ilvl="2">
      <w:numFmt w:val="bullet"/>
      <w:lvlText w:val="•"/>
      <w:lvlJc w:val="left"/>
      <w:pPr>
        <w:ind w:left="4281" w:hanging="701"/>
      </w:pPr>
      <w:rPr>
        <w:rFonts w:hint="default"/>
        <w:lang w:val="es-AR" w:eastAsia="es-AR" w:bidi="es-AR"/>
      </w:rPr>
    </w:lvl>
    <w:lvl w:ilvl="3">
      <w:numFmt w:val="bullet"/>
      <w:lvlText w:val="•"/>
      <w:lvlJc w:val="left"/>
      <w:pPr>
        <w:ind w:left="5151" w:hanging="701"/>
      </w:pPr>
      <w:rPr>
        <w:rFonts w:hint="default"/>
        <w:lang w:val="es-AR" w:eastAsia="es-AR" w:bidi="es-AR"/>
      </w:rPr>
    </w:lvl>
    <w:lvl w:ilvl="4">
      <w:numFmt w:val="bullet"/>
      <w:lvlText w:val="•"/>
      <w:lvlJc w:val="left"/>
      <w:pPr>
        <w:ind w:left="6022" w:hanging="701"/>
      </w:pPr>
      <w:rPr>
        <w:rFonts w:hint="default"/>
        <w:lang w:val="es-AR" w:eastAsia="es-AR" w:bidi="es-AR"/>
      </w:rPr>
    </w:lvl>
    <w:lvl w:ilvl="5">
      <w:numFmt w:val="bullet"/>
      <w:lvlText w:val="•"/>
      <w:lvlJc w:val="left"/>
      <w:pPr>
        <w:ind w:left="6893" w:hanging="701"/>
      </w:pPr>
      <w:rPr>
        <w:rFonts w:hint="default"/>
        <w:lang w:val="es-AR" w:eastAsia="es-AR" w:bidi="es-AR"/>
      </w:rPr>
    </w:lvl>
    <w:lvl w:ilvl="6">
      <w:numFmt w:val="bullet"/>
      <w:lvlText w:val="•"/>
      <w:lvlJc w:val="left"/>
      <w:pPr>
        <w:ind w:left="7763" w:hanging="701"/>
      </w:pPr>
      <w:rPr>
        <w:rFonts w:hint="default"/>
        <w:lang w:val="es-AR" w:eastAsia="es-AR" w:bidi="es-AR"/>
      </w:rPr>
    </w:lvl>
    <w:lvl w:ilvl="7">
      <w:numFmt w:val="bullet"/>
      <w:lvlText w:val="•"/>
      <w:lvlJc w:val="left"/>
      <w:pPr>
        <w:ind w:left="8634" w:hanging="701"/>
      </w:pPr>
      <w:rPr>
        <w:rFonts w:hint="default"/>
        <w:lang w:val="es-AR" w:eastAsia="es-AR" w:bidi="es-AR"/>
      </w:rPr>
    </w:lvl>
    <w:lvl w:ilvl="8">
      <w:numFmt w:val="bullet"/>
      <w:lvlText w:val="•"/>
      <w:lvlJc w:val="left"/>
      <w:pPr>
        <w:ind w:left="9505" w:hanging="701"/>
      </w:pPr>
      <w:rPr>
        <w:rFonts w:hint="default"/>
        <w:lang w:val="es-AR" w:eastAsia="es-AR" w:bidi="es-AR"/>
      </w:rPr>
    </w:lvl>
  </w:abstractNum>
  <w:abstractNum w:abstractNumId="2" w15:restartNumberingAfterBreak="0">
    <w:nsid w:val="4FD15469"/>
    <w:multiLevelType w:val="hybridMultilevel"/>
    <w:tmpl w:val="C5BE82EC"/>
    <w:lvl w:ilvl="0" w:tplc="3012A6BC">
      <w:start w:val="1"/>
      <w:numFmt w:val="decimal"/>
      <w:lvlText w:val="%1."/>
      <w:lvlJc w:val="left"/>
      <w:pPr>
        <w:ind w:left="2126" w:hanging="377"/>
        <w:jc w:val="left"/>
      </w:pPr>
      <w:rPr>
        <w:rFonts w:ascii="Calibri" w:eastAsia="Calibri" w:hAnsi="Calibri" w:cs="Calibri" w:hint="default"/>
        <w:b/>
        <w:bCs/>
        <w:color w:val="0097CD"/>
        <w:spacing w:val="-27"/>
        <w:w w:val="100"/>
        <w:sz w:val="24"/>
        <w:szCs w:val="24"/>
        <w:lang w:val="es-AR" w:eastAsia="es-AR" w:bidi="es-AR"/>
      </w:rPr>
    </w:lvl>
    <w:lvl w:ilvl="1" w:tplc="0BC49E86">
      <w:start w:val="1"/>
      <w:numFmt w:val="upperLetter"/>
      <w:lvlText w:val="%2."/>
      <w:lvlJc w:val="left"/>
      <w:pPr>
        <w:ind w:left="2410" w:hanging="243"/>
        <w:jc w:val="left"/>
      </w:pPr>
      <w:rPr>
        <w:rFonts w:ascii="Calibri" w:eastAsia="Calibri" w:hAnsi="Calibri" w:cs="Calibri" w:hint="default"/>
        <w:color w:val="333333"/>
        <w:w w:val="100"/>
        <w:sz w:val="24"/>
        <w:szCs w:val="24"/>
        <w:lang w:val="es-AR" w:eastAsia="es-AR" w:bidi="es-AR"/>
      </w:rPr>
    </w:lvl>
    <w:lvl w:ilvl="2" w:tplc="2CE23DCA">
      <w:numFmt w:val="bullet"/>
      <w:lvlText w:val="•"/>
      <w:lvlJc w:val="left"/>
      <w:pPr>
        <w:ind w:left="2660" w:hanging="243"/>
      </w:pPr>
      <w:rPr>
        <w:rFonts w:hint="default"/>
        <w:lang w:val="es-AR" w:eastAsia="es-AR" w:bidi="es-AR"/>
      </w:rPr>
    </w:lvl>
    <w:lvl w:ilvl="3" w:tplc="D67AAA2A">
      <w:numFmt w:val="bullet"/>
      <w:lvlText w:val="•"/>
      <w:lvlJc w:val="left"/>
      <w:pPr>
        <w:ind w:left="3733" w:hanging="243"/>
      </w:pPr>
      <w:rPr>
        <w:rFonts w:hint="default"/>
        <w:lang w:val="es-AR" w:eastAsia="es-AR" w:bidi="es-AR"/>
      </w:rPr>
    </w:lvl>
    <w:lvl w:ilvl="4" w:tplc="7CE610E6">
      <w:numFmt w:val="bullet"/>
      <w:lvlText w:val="•"/>
      <w:lvlJc w:val="left"/>
      <w:pPr>
        <w:ind w:left="4806" w:hanging="243"/>
      </w:pPr>
      <w:rPr>
        <w:rFonts w:hint="default"/>
        <w:lang w:val="es-AR" w:eastAsia="es-AR" w:bidi="es-AR"/>
      </w:rPr>
    </w:lvl>
    <w:lvl w:ilvl="5" w:tplc="B2F4B1E2">
      <w:numFmt w:val="bullet"/>
      <w:lvlText w:val="•"/>
      <w:lvlJc w:val="left"/>
      <w:pPr>
        <w:ind w:left="5879" w:hanging="243"/>
      </w:pPr>
      <w:rPr>
        <w:rFonts w:hint="default"/>
        <w:lang w:val="es-AR" w:eastAsia="es-AR" w:bidi="es-AR"/>
      </w:rPr>
    </w:lvl>
    <w:lvl w:ilvl="6" w:tplc="B9FCAC96">
      <w:numFmt w:val="bullet"/>
      <w:lvlText w:val="•"/>
      <w:lvlJc w:val="left"/>
      <w:pPr>
        <w:ind w:left="6953" w:hanging="243"/>
      </w:pPr>
      <w:rPr>
        <w:rFonts w:hint="default"/>
        <w:lang w:val="es-AR" w:eastAsia="es-AR" w:bidi="es-AR"/>
      </w:rPr>
    </w:lvl>
    <w:lvl w:ilvl="7" w:tplc="7E9A5124">
      <w:numFmt w:val="bullet"/>
      <w:lvlText w:val="•"/>
      <w:lvlJc w:val="left"/>
      <w:pPr>
        <w:ind w:left="8026" w:hanging="243"/>
      </w:pPr>
      <w:rPr>
        <w:rFonts w:hint="default"/>
        <w:lang w:val="es-AR" w:eastAsia="es-AR" w:bidi="es-AR"/>
      </w:rPr>
    </w:lvl>
    <w:lvl w:ilvl="8" w:tplc="382E92A6">
      <w:numFmt w:val="bullet"/>
      <w:lvlText w:val="•"/>
      <w:lvlJc w:val="left"/>
      <w:pPr>
        <w:ind w:left="9099" w:hanging="243"/>
      </w:pPr>
      <w:rPr>
        <w:rFonts w:hint="default"/>
        <w:lang w:val="es-AR" w:eastAsia="es-AR" w:bidi="es-AR"/>
      </w:rPr>
    </w:lvl>
  </w:abstractNum>
  <w:num w:numId="1" w16cid:durableId="1625846843">
    <w:abstractNumId w:val="2"/>
  </w:num>
  <w:num w:numId="2" w16cid:durableId="257757319">
    <w:abstractNumId w:val="1"/>
  </w:num>
  <w:num w:numId="3" w16cid:durableId="12555491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hyphenationZone w:val="425"/>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2D7CC7"/>
    <w:rsid w:val="000A2D1B"/>
    <w:rsid w:val="001E1688"/>
    <w:rsid w:val="00235BFF"/>
    <w:rsid w:val="002714A4"/>
    <w:rsid w:val="002D7CC7"/>
    <w:rsid w:val="003A25B7"/>
    <w:rsid w:val="00664BC3"/>
    <w:rsid w:val="007842DF"/>
    <w:rsid w:val="00966E66"/>
    <w:rsid w:val="00AF24EC"/>
    <w:rsid w:val="00C85407"/>
    <w:rsid w:val="00CC0C02"/>
    <w:rsid w:val="00D02FD9"/>
    <w:rsid w:val="00D44841"/>
    <w:rsid w:val="00D60C44"/>
    <w:rsid w:val="00DF7CC7"/>
    <w:rsid w:val="00F431AA"/>
    <w:rsid w:val="00F84B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208"/>
    <o:shapelayout v:ext="edit">
      <o:idmap v:ext="edit" data="1"/>
    </o:shapelayout>
  </w:shapeDefaults>
  <w:decimalSymbol w:val=","/>
  <w:listSeparator w:val=";"/>
  <w14:docId w14:val="1CDC7071"/>
  <w15:docId w15:val="{D74469D5-B024-F346-9E7B-52892A872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AR" w:eastAsia="es-AR" w:bidi="es-AR"/>
    </w:rPr>
  </w:style>
  <w:style w:type="paragraph" w:styleId="Ttulo1">
    <w:name w:val="heading 1"/>
    <w:basedOn w:val="Normal"/>
    <w:uiPriority w:val="9"/>
    <w:qFormat/>
    <w:pPr>
      <w:spacing w:line="670" w:lineRule="exact"/>
      <w:ind w:right="1180"/>
      <w:jc w:val="right"/>
      <w:outlineLvl w:val="0"/>
    </w:pPr>
    <w:rPr>
      <w:rFonts w:ascii="Calibri Light" w:eastAsia="Calibri Light" w:hAnsi="Calibri Light" w:cs="Calibri Light"/>
      <w:sz w:val="56"/>
      <w:szCs w:val="56"/>
    </w:rPr>
  </w:style>
  <w:style w:type="paragraph" w:styleId="Ttulo2">
    <w:name w:val="heading 2"/>
    <w:basedOn w:val="Normal"/>
    <w:uiPriority w:val="9"/>
    <w:unhideWhenUsed/>
    <w:qFormat/>
    <w:pPr>
      <w:spacing w:before="20"/>
      <w:ind w:left="2543"/>
      <w:outlineLvl w:val="1"/>
    </w:pPr>
    <w:rPr>
      <w:sz w:val="40"/>
      <w:szCs w:val="40"/>
    </w:rPr>
  </w:style>
  <w:style w:type="paragraph" w:styleId="Ttulo3">
    <w:name w:val="heading 3"/>
    <w:basedOn w:val="Normal"/>
    <w:uiPriority w:val="9"/>
    <w:unhideWhenUsed/>
    <w:qFormat/>
    <w:pPr>
      <w:spacing w:before="1"/>
      <w:ind w:left="1843"/>
      <w:outlineLvl w:val="2"/>
    </w:pPr>
    <w:rPr>
      <w:sz w:val="28"/>
      <w:szCs w:val="28"/>
    </w:rPr>
  </w:style>
  <w:style w:type="paragraph" w:styleId="Ttulo4">
    <w:name w:val="heading 4"/>
    <w:basedOn w:val="Normal"/>
    <w:uiPriority w:val="9"/>
    <w:unhideWhenUsed/>
    <w:qFormat/>
    <w:pPr>
      <w:spacing w:before="39"/>
      <w:ind w:left="1843"/>
      <w:outlineLvl w:val="3"/>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66"/>
      <w:ind w:left="4537"/>
    </w:pPr>
    <w:rPr>
      <w:sz w:val="24"/>
      <w:szCs w:val="24"/>
    </w:rPr>
  </w:style>
  <w:style w:type="paragraph" w:styleId="TDC2">
    <w:name w:val="toc 2"/>
    <w:basedOn w:val="Normal"/>
    <w:uiPriority w:val="1"/>
    <w:qFormat/>
    <w:pPr>
      <w:spacing w:before="146"/>
      <w:ind w:left="5239" w:hanging="419"/>
    </w:pPr>
    <w:rPr>
      <w:sz w:val="24"/>
      <w:szCs w:val="24"/>
    </w:r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241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hyperlink" Target="https://community.mis.temple.edu/mis0855002fall2015/files/2015/10/S.M.A.R.T-Way-Management-Review.pdf" TargetMode="External"/><Relationship Id="rId26" Type="http://schemas.openxmlformats.org/officeDocument/2006/relationships/hyperlink" Target="https://blog.hubspot.es/marketing/5-ejemplos-de-metas-inteligentes-para-tu-empresa" TargetMode="External"/><Relationship Id="rId39" Type="http://schemas.openxmlformats.org/officeDocument/2006/relationships/fontTable" Target="fontTable.xml"/><Relationship Id="rId21" Type="http://schemas.openxmlformats.org/officeDocument/2006/relationships/hyperlink" Target="https://www.mckinsey.com/business-functions/implementation/our-insights/how-the-implementation-of-organizational-change-is-evolving" TargetMode="External"/><Relationship Id="rId34" Type="http://schemas.openxmlformats.org/officeDocument/2006/relationships/hyperlink" Target="https://www.mckinsey.com/business-functions/implementation/our-insights/how-the-implementation-of-organizational-change-is-evolving" TargetMode="Externa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hyperlink" Target="https://community.mis.temple.edu/mis0855002fall2015/files/2015/10/S.M.A.R.T-Way-Management-Review.pdf" TargetMode="External"/><Relationship Id="rId25" Type="http://schemas.openxmlformats.org/officeDocument/2006/relationships/hyperlink" Target="https://blog.hubspot.es/marketing/5-ejemplos-de-metas-inteligentes-para-tu-empresa" TargetMode="External"/><Relationship Id="rId33" Type="http://schemas.openxmlformats.org/officeDocument/2006/relationships/hyperlink" Target="https://www.mckinsey.com/business-functions/implementation/our-insights/how-the-implementation-of-organizational-change-is-evolving" TargetMode="External"/><Relationship Id="rId38"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hyperlink" Target="http://www.accio.gencat.cat/web/.content/bancconeixement/documents/informes_sectorials/Diana-2022_Pindola_EN.pdf" TargetMode="External"/><Relationship Id="rId20" Type="http://schemas.openxmlformats.org/officeDocument/2006/relationships/hyperlink" Target="https://portaldoc.itesm.mx/pls/portaldoc/docs/PORA3_1_20012012143549.pdf" TargetMode="External"/><Relationship Id="rId29" Type="http://schemas.openxmlformats.org/officeDocument/2006/relationships/hyperlink" Target="https://blog.hubspot.es/marketing/5-ejemplos-de-metas-inteligentes-para-tu-empresa"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hyperlink" Target="https://www.mckinsey.com/business-functions/implementation/our-insights/how-the-implementation-of-organizational-change-is-evolving" TargetMode="External"/><Relationship Id="rId32" Type="http://schemas.openxmlformats.org/officeDocument/2006/relationships/hyperlink" Target="https://www.youtube.com/watch?v=NMonxMKDUzs" TargetMode="External"/><Relationship Id="rId37" Type="http://schemas.openxmlformats.org/officeDocument/2006/relationships/image" Target="media/image1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www.accio.gencat.cat/web/.content/bancconeixement/documents/informes_sectorials/Diana-2022_Pindola_EN.pdf" TargetMode="External"/><Relationship Id="rId23" Type="http://schemas.openxmlformats.org/officeDocument/2006/relationships/hyperlink" Target="https://www.mckinsey.com/business-functions/implementation/our-insights/how-the-implementation-of-organizational-change-is-evolving" TargetMode="External"/><Relationship Id="rId28" Type="http://schemas.openxmlformats.org/officeDocument/2006/relationships/hyperlink" Target="https://www.mckinsey.com/business-functions/implementation/our-insights/how-the-implementation-of-organizational-change-is-evolving" TargetMode="External"/><Relationship Id="rId36" Type="http://schemas.openxmlformats.org/officeDocument/2006/relationships/image" Target="media/image12.png"/><Relationship Id="rId10" Type="http://schemas.openxmlformats.org/officeDocument/2006/relationships/image" Target="media/image6.png"/><Relationship Id="rId19" Type="http://schemas.openxmlformats.org/officeDocument/2006/relationships/hyperlink" Target="https://financesonline.com/digital-transformation-statistics" TargetMode="External"/><Relationship Id="rId31" Type="http://schemas.openxmlformats.org/officeDocument/2006/relationships/hyperlink" Target="https://www.mckinsey.com/business-functions/transformation/our-insights/the-wisdom-of-transformations-how-successful-ceos-think-about-change/es-c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hyperlink" Target="https://www.mckinsey.com/business-functions/implementation/our-insights/how-the-implementation-of-organizational-change-is-evolving" TargetMode="External"/><Relationship Id="rId27" Type="http://schemas.openxmlformats.org/officeDocument/2006/relationships/hyperlink" Target="https://www.pwc.com/ng/en/assets/pdf/four-business-models-digital-age.pdf" TargetMode="External"/><Relationship Id="rId30" Type="http://schemas.openxmlformats.org/officeDocument/2006/relationships/hyperlink" Target="https://www.mckinsey.com/business-functions/transformation/our-insights/the-wisdom-of-transformations-how-successful-ceos-think-about-change/es-cl" TargetMode="External"/><Relationship Id="rId35" Type="http://schemas.openxmlformats.org/officeDocument/2006/relationships/image" Target="media/image1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31</Pages>
  <Words>5799</Words>
  <Characters>32768</Characters>
  <Application>Microsoft Office Word</Application>
  <DocSecurity>0</DocSecurity>
  <Lines>1213</Lines>
  <Paragraphs>350</Paragraphs>
  <ScaleCrop>false</ScaleCrop>
  <Company/>
  <LinksUpToDate>false</LinksUpToDate>
  <CharactersWithSpaces>38217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Natalia Asturillo</dc:creator>
  <cp:lastModifiedBy>Juan José Vázquez Rubio</cp:lastModifiedBy>
  <cp:revision>13</cp:revision>
  <dcterms:created xsi:type="dcterms:W3CDTF">2025-05-20T08:00:00Z</dcterms:created>
  <dcterms:modified xsi:type="dcterms:W3CDTF">2026-06-02T18:16:00Z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2022-08-31T00:00:00Z</vt:filetime>
  </property>
  <property fmtid="{D5CDD505-2E9C-101B-9397-08002B2CF9AE}" pid="3" name="Creator">
    <vt:lpwstr>Microsoft® Word para Microsoft 365</vt:lpwstr>
  </property>
  <property fmtid="{D5CDD505-2E9C-101B-9397-08002B2CF9AE}" pid="4" name="LastSaved">
    <vt:filetime>2025-05-20T00:00:00Z</vt:filetime>
  </property>
</Properties>
</file>