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A03E90" w14:textId="77777777" w:rsidR="005A37A9" w:rsidRPr="009E582E" w:rsidRDefault="005A37A9" w:rsidP="005A37A9">
      <w:pPr>
        <w:widowControl w:val="0"/>
        <w:autoSpaceDE w:val="0"/>
        <w:autoSpaceDN w:val="0"/>
        <w:adjustRightInd w:val="0"/>
        <w:rPr>
          <w:rFonts w:cs="Calibri"/>
          <w:b/>
          <w:sz w:val="22"/>
          <w:szCs w:val="22"/>
        </w:rPr>
      </w:pPr>
      <w:bookmarkStart w:id="0" w:name="_GoBack"/>
      <w:bookmarkEnd w:id="0"/>
      <w:r w:rsidRPr="009E582E">
        <w:rPr>
          <w:rFonts w:cs="Calibri"/>
          <w:b/>
          <w:sz w:val="22"/>
          <w:szCs w:val="22"/>
        </w:rPr>
        <w:t>WCMC-Qatar conference</w:t>
      </w:r>
    </w:p>
    <w:p w14:paraId="2C8D1A84" w14:textId="77777777" w:rsidR="005A37A9" w:rsidRPr="009E582E" w:rsidRDefault="005A37A9" w:rsidP="005A37A9">
      <w:pPr>
        <w:widowControl w:val="0"/>
        <w:autoSpaceDE w:val="0"/>
        <w:autoSpaceDN w:val="0"/>
        <w:adjustRightInd w:val="0"/>
        <w:rPr>
          <w:rFonts w:cs="Calibri"/>
          <w:i/>
          <w:sz w:val="22"/>
          <w:szCs w:val="22"/>
        </w:rPr>
      </w:pPr>
      <w:r w:rsidRPr="009E582E">
        <w:rPr>
          <w:rFonts w:cs="Calibri"/>
          <w:i/>
          <w:sz w:val="22"/>
          <w:szCs w:val="22"/>
        </w:rPr>
        <w:t>Emerging Technologies in Libraries</w:t>
      </w:r>
    </w:p>
    <w:p w14:paraId="3C3F0BA0" w14:textId="77777777" w:rsidR="005A37A9" w:rsidRPr="009E582E" w:rsidRDefault="005A37A9" w:rsidP="005A37A9">
      <w:pPr>
        <w:rPr>
          <w:rFonts w:cs="Calibri"/>
          <w:sz w:val="22"/>
          <w:szCs w:val="22"/>
        </w:rPr>
      </w:pPr>
      <w:r w:rsidRPr="009E582E">
        <w:rPr>
          <w:rFonts w:cs="Calibri"/>
          <w:sz w:val="22"/>
          <w:szCs w:val="22"/>
        </w:rPr>
        <w:t>12 – 13 April 2016</w:t>
      </w:r>
    </w:p>
    <w:p w14:paraId="309ADE11" w14:textId="77777777" w:rsidR="005A37A9" w:rsidRDefault="005A37A9" w:rsidP="005A37A9">
      <w:pPr>
        <w:widowControl w:val="0"/>
        <w:autoSpaceDE w:val="0"/>
        <w:autoSpaceDN w:val="0"/>
        <w:adjustRightInd w:val="0"/>
        <w:rPr>
          <w:rFonts w:eastAsia="Arial Unicode MS" w:cs="Arial Unicode MS"/>
          <w:sz w:val="22"/>
          <w:szCs w:val="22"/>
        </w:rPr>
      </w:pPr>
    </w:p>
    <w:p w14:paraId="4045F0D1" w14:textId="77777777" w:rsidR="005A37A9" w:rsidRDefault="005A37A9" w:rsidP="005A37A9">
      <w:pPr>
        <w:widowControl w:val="0"/>
        <w:autoSpaceDE w:val="0"/>
        <w:autoSpaceDN w:val="0"/>
        <w:adjustRightInd w:val="0"/>
        <w:rPr>
          <w:rFonts w:eastAsia="Arial Unicode MS" w:cs="Arial Unicode MS"/>
          <w:sz w:val="22"/>
          <w:szCs w:val="22"/>
        </w:rPr>
      </w:pPr>
    </w:p>
    <w:p w14:paraId="56345612" w14:textId="59ADD283" w:rsidR="005A37A9" w:rsidRPr="005A37A9" w:rsidRDefault="005A37A9" w:rsidP="005A37A9">
      <w:pPr>
        <w:widowControl w:val="0"/>
        <w:autoSpaceDE w:val="0"/>
        <w:autoSpaceDN w:val="0"/>
        <w:adjustRightInd w:val="0"/>
        <w:rPr>
          <w:rFonts w:eastAsia="Arial Unicode MS" w:cs="Arial Unicode MS"/>
          <w:b/>
          <w:sz w:val="22"/>
          <w:szCs w:val="22"/>
        </w:rPr>
      </w:pPr>
      <w:r w:rsidRPr="005A37A9">
        <w:rPr>
          <w:rFonts w:eastAsia="Arial Unicode MS" w:cs="Arial Unicode MS"/>
          <w:b/>
          <w:sz w:val="22"/>
          <w:szCs w:val="22"/>
        </w:rPr>
        <w:t>BIO</w:t>
      </w:r>
    </w:p>
    <w:p w14:paraId="30D6C9B4" w14:textId="77777777" w:rsidR="005A37A9" w:rsidRDefault="005A37A9" w:rsidP="005A37A9">
      <w:pPr>
        <w:widowControl w:val="0"/>
        <w:autoSpaceDE w:val="0"/>
        <w:autoSpaceDN w:val="0"/>
        <w:adjustRightInd w:val="0"/>
        <w:rPr>
          <w:rFonts w:eastAsia="Arial Unicode MS" w:cs="Arial Unicode MS"/>
          <w:sz w:val="22"/>
          <w:szCs w:val="22"/>
        </w:rPr>
      </w:pPr>
    </w:p>
    <w:p w14:paraId="3B04DE13" w14:textId="77777777" w:rsidR="005A37A9" w:rsidRDefault="005A37A9" w:rsidP="005A37A9">
      <w:pPr>
        <w:widowControl w:val="0"/>
        <w:autoSpaceDE w:val="0"/>
        <w:autoSpaceDN w:val="0"/>
        <w:adjustRightInd w:val="0"/>
        <w:rPr>
          <w:rFonts w:eastAsia="Arial Unicode MS" w:cs="Arial Unicode MS"/>
          <w:sz w:val="22"/>
          <w:szCs w:val="22"/>
        </w:rPr>
      </w:pPr>
    </w:p>
    <w:p w14:paraId="68AAA271" w14:textId="77777777" w:rsidR="00850549" w:rsidRPr="005A37A9" w:rsidRDefault="00850549" w:rsidP="005A37A9">
      <w:pPr>
        <w:widowControl w:val="0"/>
        <w:autoSpaceDE w:val="0"/>
        <w:autoSpaceDN w:val="0"/>
        <w:adjustRightInd w:val="0"/>
        <w:rPr>
          <w:rFonts w:eastAsia="Arial Unicode MS" w:cs="Arial Unicode MS"/>
          <w:sz w:val="22"/>
          <w:szCs w:val="22"/>
        </w:rPr>
      </w:pPr>
      <w:r w:rsidRPr="005A37A9">
        <w:rPr>
          <w:rFonts w:eastAsia="Arial Unicode MS" w:cs="Arial Unicode MS"/>
          <w:b/>
          <w:sz w:val="22"/>
          <w:szCs w:val="22"/>
        </w:rPr>
        <w:t>Pamela Erskine-Loftus</w:t>
      </w:r>
      <w:r w:rsidRPr="005A37A9">
        <w:rPr>
          <w:rFonts w:eastAsia="Arial Unicode MS" w:cs="Arial Unicode MS"/>
          <w:sz w:val="22"/>
          <w:szCs w:val="22"/>
        </w:rPr>
        <w:t xml:space="preserve"> is the director of </w:t>
      </w:r>
      <w:r w:rsidR="0079557B" w:rsidRPr="005A37A9">
        <w:rPr>
          <w:rFonts w:eastAsia="Arial Unicode MS" w:cs="Arial Unicode MS"/>
          <w:sz w:val="22"/>
          <w:szCs w:val="22"/>
        </w:rPr>
        <w:t>The Media Majlis at Northwestern University in Qatar, an academic museum located in the under-construction Northwestern building at Education City</w:t>
      </w:r>
      <w:r w:rsidRPr="005A37A9">
        <w:rPr>
          <w:rFonts w:eastAsia="Arial Unicode MS" w:cs="Arial Unicode MS"/>
          <w:sz w:val="22"/>
          <w:szCs w:val="22"/>
        </w:rPr>
        <w:t xml:space="preserve">.  </w:t>
      </w:r>
      <w:r w:rsidRPr="005A37A9">
        <w:rPr>
          <w:rFonts w:cs="Times"/>
          <w:color w:val="2D3135"/>
          <w:sz w:val="22"/>
          <w:szCs w:val="22"/>
        </w:rPr>
        <w:t xml:space="preserve">Her prior senior positions include as curator with Qatar Museums, founding head of interpretation and education at </w:t>
      </w:r>
      <w:proofErr w:type="spellStart"/>
      <w:r w:rsidRPr="005A37A9">
        <w:rPr>
          <w:rFonts w:cs="Times"/>
          <w:color w:val="2D3135"/>
          <w:sz w:val="22"/>
          <w:szCs w:val="22"/>
        </w:rPr>
        <w:t>Sharjah</w:t>
      </w:r>
      <w:proofErr w:type="spellEnd"/>
      <w:r w:rsidRPr="005A37A9">
        <w:rPr>
          <w:rFonts w:cs="Times"/>
          <w:color w:val="2D3135"/>
          <w:sz w:val="22"/>
          <w:szCs w:val="22"/>
        </w:rPr>
        <w:t xml:space="preserve"> Museums Department, UAE, manager of the Department of Education at The Museum of Modern Art in New York, and with the Museum of Contemporary Art San Diego, in California. </w:t>
      </w:r>
      <w:r w:rsidRPr="005A37A9">
        <w:rPr>
          <w:rFonts w:eastAsia="Arial Unicode MS" w:cs="Arial Unicode MS"/>
          <w:sz w:val="22"/>
          <w:szCs w:val="22"/>
        </w:rPr>
        <w:t xml:space="preserve">Dr. Erskine-Loftus </w:t>
      </w:r>
      <w:r w:rsidRPr="005A37A9">
        <w:rPr>
          <w:rFonts w:cs="Times"/>
          <w:color w:val="2D3135"/>
          <w:sz w:val="22"/>
          <w:szCs w:val="22"/>
        </w:rPr>
        <w:t xml:space="preserve">holds a PhD in Arabian Peninsula museology (Newcastle University, UK), and a MA in Museum Studies, </w:t>
      </w:r>
      <w:r w:rsidRPr="005A37A9">
        <w:rPr>
          <w:rFonts w:eastAsia="Arial Unicode MS" w:cs="Arial Unicode MS"/>
          <w:sz w:val="22"/>
          <w:szCs w:val="22"/>
        </w:rPr>
        <w:t xml:space="preserve">with a dissertation with distinction on the effects of the 1991 Gulf War on art museums in Kuwait and Iraq </w:t>
      </w:r>
      <w:r w:rsidRPr="005A37A9">
        <w:rPr>
          <w:rFonts w:cs="Times"/>
          <w:color w:val="2D3135"/>
          <w:sz w:val="22"/>
          <w:szCs w:val="22"/>
        </w:rPr>
        <w:t>(University of Leicester, UK)</w:t>
      </w:r>
      <w:r w:rsidRPr="005A37A9">
        <w:rPr>
          <w:rFonts w:eastAsia="Arial Unicode MS" w:cs="Arial Unicode MS"/>
          <w:sz w:val="22"/>
          <w:szCs w:val="22"/>
        </w:rPr>
        <w:t xml:space="preserve">. Her current research involves exhibitions, audience engagement, and the cultural contexts of place.  </w:t>
      </w:r>
      <w:r w:rsidRPr="005A37A9">
        <w:rPr>
          <w:rFonts w:cs="Times"/>
          <w:color w:val="2D3135"/>
          <w:sz w:val="22"/>
          <w:szCs w:val="22"/>
        </w:rPr>
        <w:t>She created and runs the online portal MAPcollective.org, on museums and practice in the Peninsula. She is the editor of, and contributor to, </w:t>
      </w:r>
      <w:r w:rsidRPr="005A37A9">
        <w:rPr>
          <w:rFonts w:cs="Times"/>
          <w:i/>
          <w:color w:val="2D3135"/>
          <w:sz w:val="22"/>
          <w:szCs w:val="22"/>
        </w:rPr>
        <w:t>Reimagining Museums: Practice in the Arabian Peninsula</w:t>
      </w:r>
      <w:r w:rsidRPr="005A37A9">
        <w:rPr>
          <w:rFonts w:cs="Times"/>
          <w:color w:val="2D3135"/>
          <w:sz w:val="22"/>
          <w:szCs w:val="22"/>
        </w:rPr>
        <w:t xml:space="preserve"> (</w:t>
      </w:r>
      <w:proofErr w:type="spellStart"/>
      <w:r w:rsidRPr="005A37A9">
        <w:rPr>
          <w:rFonts w:cs="Times"/>
          <w:color w:val="2D3135"/>
          <w:sz w:val="22"/>
          <w:szCs w:val="22"/>
        </w:rPr>
        <w:t>MuseumsEtc</w:t>
      </w:r>
      <w:proofErr w:type="spellEnd"/>
      <w:r w:rsidRPr="005A37A9">
        <w:rPr>
          <w:rFonts w:cs="Times"/>
          <w:color w:val="2D3135"/>
          <w:sz w:val="22"/>
          <w:szCs w:val="22"/>
        </w:rPr>
        <w:t xml:space="preserve">, 2013; second edition 2014), </w:t>
      </w:r>
      <w:r w:rsidRPr="005A37A9">
        <w:rPr>
          <w:rFonts w:cs="Times"/>
          <w:i/>
          <w:color w:val="2D3135"/>
          <w:sz w:val="22"/>
          <w:szCs w:val="22"/>
        </w:rPr>
        <w:t>Museums and the Material World: Collecting the Arabian Peninsula</w:t>
      </w:r>
      <w:r w:rsidRPr="005A37A9">
        <w:rPr>
          <w:rFonts w:cs="Times"/>
          <w:color w:val="2D3135"/>
          <w:sz w:val="22"/>
          <w:szCs w:val="22"/>
        </w:rPr>
        <w:t xml:space="preserve"> (</w:t>
      </w:r>
      <w:proofErr w:type="spellStart"/>
      <w:r w:rsidRPr="005A37A9">
        <w:rPr>
          <w:rFonts w:cs="Times"/>
          <w:color w:val="2D3135"/>
          <w:sz w:val="22"/>
          <w:szCs w:val="22"/>
        </w:rPr>
        <w:t>MuseumsEtc</w:t>
      </w:r>
      <w:proofErr w:type="spellEnd"/>
      <w:r w:rsidRPr="005A37A9">
        <w:rPr>
          <w:rFonts w:cs="Times"/>
          <w:color w:val="2D3135"/>
          <w:sz w:val="22"/>
          <w:szCs w:val="22"/>
        </w:rPr>
        <w:t xml:space="preserve">, 2014), and </w:t>
      </w:r>
      <w:r w:rsidR="0079557B" w:rsidRPr="005A37A9">
        <w:rPr>
          <w:rFonts w:cs="Times"/>
          <w:color w:val="2D3135"/>
          <w:sz w:val="22"/>
          <w:szCs w:val="22"/>
        </w:rPr>
        <w:t xml:space="preserve">co-editor of </w:t>
      </w:r>
      <w:r w:rsidRPr="005A37A9">
        <w:rPr>
          <w:rFonts w:cs="Times"/>
          <w:i/>
          <w:color w:val="2D3135"/>
          <w:sz w:val="22"/>
          <w:szCs w:val="22"/>
        </w:rPr>
        <w:t>Representing the Nation: heritage, museums, national narratives and identity in the Arab Gulf States</w:t>
      </w:r>
      <w:r w:rsidRPr="005A37A9">
        <w:rPr>
          <w:rFonts w:cs="Times"/>
          <w:color w:val="2D3135"/>
          <w:sz w:val="22"/>
          <w:szCs w:val="22"/>
        </w:rPr>
        <w:t xml:space="preserve"> (</w:t>
      </w:r>
      <w:proofErr w:type="spellStart"/>
      <w:r w:rsidRPr="005A37A9">
        <w:rPr>
          <w:rFonts w:cs="Times"/>
          <w:color w:val="2D3135"/>
          <w:sz w:val="22"/>
          <w:szCs w:val="22"/>
        </w:rPr>
        <w:t>Routledge</w:t>
      </w:r>
      <w:proofErr w:type="spellEnd"/>
      <w:r w:rsidRPr="005A37A9">
        <w:rPr>
          <w:rFonts w:cs="Times"/>
          <w:color w:val="2D3135"/>
          <w:sz w:val="22"/>
          <w:szCs w:val="22"/>
        </w:rPr>
        <w:t xml:space="preserve">—forthcoming </w:t>
      </w:r>
      <w:r w:rsidR="0079557B" w:rsidRPr="005A37A9">
        <w:rPr>
          <w:rFonts w:cs="Times"/>
          <w:color w:val="2D3135"/>
          <w:sz w:val="22"/>
          <w:szCs w:val="22"/>
        </w:rPr>
        <w:t xml:space="preserve">March </w:t>
      </w:r>
      <w:r w:rsidRPr="005A37A9">
        <w:rPr>
          <w:rFonts w:cs="Times"/>
          <w:color w:val="2D3135"/>
          <w:sz w:val="22"/>
          <w:szCs w:val="22"/>
        </w:rPr>
        <w:t xml:space="preserve">2016). </w:t>
      </w:r>
    </w:p>
    <w:p w14:paraId="7526C6A1" w14:textId="77777777" w:rsidR="00850549" w:rsidRPr="005A37A9" w:rsidRDefault="00850549" w:rsidP="005A37A9">
      <w:pPr>
        <w:widowControl w:val="0"/>
        <w:autoSpaceDE w:val="0"/>
        <w:autoSpaceDN w:val="0"/>
        <w:adjustRightInd w:val="0"/>
        <w:rPr>
          <w:rFonts w:eastAsia="Arial Unicode MS" w:cs="Arial Unicode MS"/>
          <w:sz w:val="22"/>
          <w:szCs w:val="22"/>
        </w:rPr>
      </w:pPr>
    </w:p>
    <w:p w14:paraId="6B9EF8CF" w14:textId="77777777" w:rsidR="004B2FD1" w:rsidRPr="005A37A9" w:rsidRDefault="004B2FD1" w:rsidP="005A37A9">
      <w:pPr>
        <w:rPr>
          <w:sz w:val="22"/>
          <w:szCs w:val="22"/>
        </w:rPr>
      </w:pPr>
    </w:p>
    <w:sectPr w:rsidR="004B2FD1" w:rsidRPr="005A37A9" w:rsidSect="005A37A9">
      <w:pgSz w:w="11900" w:h="16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549"/>
    <w:rsid w:val="00476E26"/>
    <w:rsid w:val="004B2FD1"/>
    <w:rsid w:val="005A37A9"/>
    <w:rsid w:val="0079557B"/>
    <w:rsid w:val="00850549"/>
    <w:rsid w:val="008E6B51"/>
    <w:rsid w:val="0097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50DA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 Light" w:eastAsiaTheme="minorEastAsia" w:hAnsi="Calibri Light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 Light" w:eastAsiaTheme="minorEastAsia" w:hAnsi="Calibri Light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1196</Characters>
  <Application>Microsoft Macintosh Word</Application>
  <DocSecurity>4</DocSecurity>
  <Lines>9</Lines>
  <Paragraphs>2</Paragraphs>
  <ScaleCrop>false</ScaleCrop>
  <Company>Northwestern University in Qatar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Erskine-Loftus</dc:creator>
  <cp:keywords/>
  <dc:description/>
  <cp:lastModifiedBy>SaliB Birch</cp:lastModifiedBy>
  <cp:revision>2</cp:revision>
  <dcterms:created xsi:type="dcterms:W3CDTF">2015-09-29T08:42:00Z</dcterms:created>
  <dcterms:modified xsi:type="dcterms:W3CDTF">2015-09-29T08:42:00Z</dcterms:modified>
</cp:coreProperties>
</file>