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Architectural Governance of an AI-Generated Implementation</w:t>
      </w:r>
    </w:p>
    <w:p>
      <w:pPr>
        <w:pBdr>
          <w:bottom w:val="single" w:color="1F3864" w:sz="8" w:space="6"/>
        </w:pBdr>
        <w:spacing w:after="60"/>
      </w:pPr>
      <w:r>
        <w:rPr>
          <w:color w:val="444444"/>
          <w:sz w:val="23"/>
          <w:szCs w:val="23"/>
        </w:rPr>
        <w:t xml:space="preserve">pomotask — a CLI task manager with a focus timer, governed by ADR 0001</w:t>
      </w:r>
    </w:p>
    <w:p>
      <w:pPr>
        <w:spacing w:after="40" w:before="120"/>
      </w:pPr>
      <w:r>
        <w:rPr>
          <w:color w:val="666666"/>
          <w:sz w:val="19"/>
          <w:szCs w:val="19"/>
        </w:rPr>
        <w:t xml:space="preserve">Software Architecture · MDA Lab · Assignment 03 · 14 August 2026</w:t>
      </w:r>
    </w:p>
    <w:p>
      <w:pPr>
        <w:spacing w:after="260"/>
      </w:pPr>
      <w:r>
        <w:rPr>
          <w:color w:val="666666"/>
          <w:sz w:val="19"/>
          <w:szCs w:val="19"/>
        </w:rPr>
        <w:t xml:space="preserve">Repository: </w:t>
      </w:r>
      <w:r>
        <w:rPr>
          <w:rFonts w:ascii="Consolas" w:cs="Consolas" w:eastAsia="Consolas" w:hAnsi="Consolas"/>
          <w:color w:val="1F3864"/>
          <w:sz w:val="19"/>
          <w:szCs w:val="19"/>
        </w:rPr>
        <w:t xml:space="preserve">https://github.com/jjwxwv/cli-task-manager</w:t>
      </w:r>
    </w:p>
    <w:p>
      <w:pPr>
        <w:spacing w:after="180" w:line="276"/>
      </w:pPr>
      <w:r>
        <w:rPr>
          <w:sz w:val="21"/>
          <w:szCs w:val="21"/>
        </w:rPr>
        <w:t xml:space="preserve">This report analyses how an Accepted ADR behaved as a live constraint on an AI-generated implementation, how well the spec-kit convergence loop detected divergence, where a human reviewer remains irreplaceable, and what single automated check would close the largest remaining hole. Every claim below is backed by a command run against the repository; where a claim could not be verified, it says 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7ECF5" w:val="clear"/>
            <w:tcMar>
              <w:top w:type="dxa" w:w="70"/>
              <w:left w:type="dxa" w:w="110"/>
              <w:bottom w:type="dxa" w:w="70"/>
              <w:right w:type="dxa" w:w="110"/>
            </w:tcMar>
          </w:tcPr>
          <w:p>
            <w:pPr>
              <w:spacing w:after="0" w:line="250"/>
            </w:pPr>
            <w:r>
              <w:rPr>
                <w:b/>
                <w:bCs/>
                <w:sz w:val="18"/>
                <w:szCs w:val="18"/>
              </w:rPr>
              <w:t xml:space="preserve">Subject</w:t>
            </w:r>
          </w:p>
        </w:tc>
        <w:tc>
          <w:tcPr>
            <w:tcW w:type="dxa" w:w="6826"/>
            <w:shd w:fill="E7ECF5" w:val="clear"/>
            <w:tcMar>
              <w:top w:type="dxa" w:w="70"/>
              <w:left w:type="dxa" w:w="110"/>
              <w:bottom w:type="dxa" w:w="70"/>
              <w:right w:type="dxa" w:w="110"/>
            </w:tcMar>
          </w:tcPr>
          <w:p>
            <w:pPr>
              <w:spacing w:after="0" w:line="250"/>
            </w:pPr>
            <w:r>
              <w:rPr>
                <w:b/>
                <w:bCs/>
                <w:sz w:val="18"/>
                <w:szCs w:val="18"/>
              </w:rPr>
              <w:t xml:space="preserve">Detail</w:t>
            </w:r>
          </w:p>
        </w:tc>
      </w:tr>
      <w:tr>
        <w:tc>
          <w:tcPr>
            <w:tcW w:type="dxa" w:w="2200"/>
            <w:tcMar>
              <w:top w:type="dxa" w:w="70"/>
              <w:left w:type="dxa" w:w="110"/>
              <w:bottom w:type="dxa" w:w="70"/>
              <w:right w:type="dxa" w:w="110"/>
            </w:tcMar>
          </w:tcPr>
          <w:p>
            <w:pPr>
              <w:spacing w:after="0" w:line="250"/>
            </w:pPr>
            <w:r>
              <w:rPr>
                <w:b w:val="false"/>
                <w:bCs w:val="false"/>
                <w:sz w:val="18"/>
                <w:szCs w:val="18"/>
              </w:rPr>
              <w:t xml:space="preserve">Repository</w:t>
            </w:r>
          </w:p>
        </w:tc>
        <w:tc>
          <w:tcPr>
            <w:tcW w:type="dxa" w:w="6826"/>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https://github.com/jjwxwv/cli-task-manager</w:t>
            </w:r>
          </w:p>
        </w:tc>
      </w:tr>
      <w:tr>
        <w:tc>
          <w:tcPr>
            <w:tcW w:type="dxa" w:w="2200"/>
            <w:tcMar>
              <w:top w:type="dxa" w:w="70"/>
              <w:left w:type="dxa" w:w="110"/>
              <w:bottom w:type="dxa" w:w="70"/>
              <w:right w:type="dxa" w:w="110"/>
            </w:tcMar>
          </w:tcPr>
          <w:p>
            <w:pPr>
              <w:spacing w:after="0" w:line="250"/>
            </w:pPr>
            <w:r>
              <w:rPr>
                <w:b w:val="false"/>
                <w:bCs w:val="false"/>
                <w:sz w:val="18"/>
                <w:szCs w:val="18"/>
              </w:rPr>
              <w:t xml:space="preserve">Implementation</w:t>
            </w:r>
          </w:p>
        </w:tc>
        <w:tc>
          <w:tcPr>
            <w:tcW w:type="dxa" w:w="6826"/>
            <w:tcMar>
              <w:top w:type="dxa" w:w="70"/>
              <w:left w:type="dxa" w:w="110"/>
              <w:bottom w:type="dxa" w:w="70"/>
              <w:right w:type="dxa" w:w="110"/>
            </w:tcMar>
          </w:tcPr>
          <w:p>
            <w:pPr>
              <w:spacing w:after="0" w:line="250"/>
            </w:pPr>
            <w:r>
              <w:rPr>
                <w:b w:val="false"/>
                <w:bCs w:val="false"/>
                <w:sz w:val="18"/>
                <w:szCs w:val="18"/>
              </w:rPr>
              <w:t xml:space="preserve">Go 1.26, standard library only. 4 packages, 52 tasks across 7 phases, 38 automated tests.</w:t>
            </w:r>
          </w:p>
        </w:tc>
      </w:tr>
      <w:tr>
        <w:tc>
          <w:tcPr>
            <w:tcW w:type="dxa" w:w="2200"/>
            <w:tcMar>
              <w:top w:type="dxa" w:w="70"/>
              <w:left w:type="dxa" w:w="110"/>
              <w:bottom w:type="dxa" w:w="70"/>
              <w:right w:type="dxa" w:w="110"/>
            </w:tcMar>
          </w:tcPr>
          <w:p>
            <w:pPr>
              <w:spacing w:after="0" w:line="250"/>
            </w:pPr>
            <w:r>
              <w:rPr>
                <w:b w:val="false"/>
                <w:bCs w:val="false"/>
                <w:sz w:val="18"/>
                <w:szCs w:val="18"/>
              </w:rPr>
              <w:t xml:space="preserve">Governing documents</w:t>
            </w:r>
          </w:p>
        </w:tc>
        <w:tc>
          <w:tcPr>
            <w:tcW w:type="dxa" w:w="6826"/>
            <w:tcMar>
              <w:top w:type="dxa" w:w="70"/>
              <w:left w:type="dxa" w:w="110"/>
              <w:bottom w:type="dxa" w:w="70"/>
              <w:right w:type="dxa" w:w="110"/>
            </w:tcMar>
          </w:tcPr>
          <w:p>
            <w:pPr>
              <w:spacing w:after="0" w:line="250"/>
            </w:pPr>
            <w:r>
              <w:rPr>
                <w:b w:val="false"/>
                <w:bCs w:val="false"/>
                <w:sz w:val="18"/>
                <w:szCs w:val="18"/>
              </w:rPr>
              <w:t xml:space="preserve">ADR 0001 (Accepted), project Constitution v1.0.0, spec.md (16 FR, 8 SC), plan.md, research.md (R1–R11), tasks.md</w:t>
            </w:r>
          </w:p>
        </w:tc>
      </w:tr>
      <w:tr>
        <w:tc>
          <w:tcPr>
            <w:tcW w:type="dxa" w:w="2200"/>
            <w:tcMar>
              <w:top w:type="dxa" w:w="70"/>
              <w:left w:type="dxa" w:w="110"/>
              <w:bottom w:type="dxa" w:w="70"/>
              <w:right w:type="dxa" w:w="110"/>
            </w:tcMar>
          </w:tcPr>
          <w:p>
            <w:pPr>
              <w:spacing w:after="0" w:line="250"/>
            </w:pPr>
            <w:r>
              <w:rPr>
                <w:b w:val="false"/>
                <w:bCs w:val="false"/>
                <w:sz w:val="18"/>
                <w:szCs w:val="18"/>
              </w:rPr>
              <w:t xml:space="preserve">Enforcement in place</w:t>
            </w:r>
          </w:p>
        </w:tc>
        <w:tc>
          <w:tcPr>
            <w:tcW w:type="dxa" w:w="6826"/>
            <w:tcMar>
              <w:top w:type="dxa" w:w="70"/>
              <w:left w:type="dxa" w:w="110"/>
              <w:bottom w:type="dxa" w:w="70"/>
              <w:right w:type="dxa" w:w="110"/>
            </w:tcMar>
          </w:tcPr>
          <w:p>
            <w:pPr>
              <w:spacing w:after="0" w:line="250"/>
            </w:pPr>
            <w:r>
              <w:rPr>
                <w:b w:val="false"/>
                <w:bCs w:val="false"/>
                <w:sz w:val="18"/>
                <w:szCs w:val="18"/>
              </w:rPr>
              <w:t xml:space="preserve">golangci-lint 2.12.2 with </w:t>
            </w:r>
            <w:r>
              <w:rPr>
                <w:rFonts w:ascii="Consolas" w:cs="Consolas" w:eastAsia="Consolas" w:hAnsi="Consolas"/>
                <w:b w:val="false"/>
                <w:bCs w:val="false"/>
                <w:sz w:val="18"/>
                <w:szCs w:val="18"/>
              </w:rPr>
              <w:t xml:space="preserve">depguard</w:t>
            </w:r>
            <w:r>
              <w:rPr>
                <w:b w:val="false"/>
                <w:bCs w:val="false"/>
                <w:sz w:val="18"/>
                <w:szCs w:val="18"/>
              </w:rPr>
              <w:t xml:space="preserve"> (3 named lists implementing 2 rules), a behavioural persistence check, CI over Windows/Linux/macOS</w:t>
            </w:r>
          </w:p>
        </w:tc>
      </w:tr>
      <w:tr>
        <w:tc>
          <w:tcPr>
            <w:tcW w:type="dxa" w:w="2200"/>
            <w:tcMar>
              <w:top w:type="dxa" w:w="70"/>
              <w:left w:type="dxa" w:w="110"/>
              <w:bottom w:type="dxa" w:w="70"/>
              <w:right w:type="dxa" w:w="110"/>
            </w:tcMar>
          </w:tcPr>
          <w:p>
            <w:pPr>
              <w:spacing w:after="0" w:line="250"/>
            </w:pPr>
            <w:r>
              <w:rPr>
                <w:b w:val="false"/>
                <w:bCs w:val="false"/>
                <w:sz w:val="18"/>
                <w:szCs w:val="18"/>
              </w:rPr>
              <w:t xml:space="preserve">Result</w:t>
            </w:r>
          </w:p>
        </w:tc>
        <w:tc>
          <w:tcPr>
            <w:tcW w:type="dxa" w:w="6826"/>
            <w:tcMar>
              <w:top w:type="dxa" w:w="70"/>
              <w:left w:type="dxa" w:w="110"/>
              <w:bottom w:type="dxa" w:w="70"/>
              <w:right w:type="dxa" w:w="110"/>
            </w:tcMar>
          </w:tcPr>
          <w:p>
            <w:pPr>
              <w:spacing w:after="0" w:line="250"/>
            </w:pPr>
            <w:r>
              <w:rPr>
                <w:b w:val="false"/>
                <w:bCs w:val="false"/>
                <w:sz w:val="18"/>
                <w:szCs w:val="18"/>
              </w:rPr>
              <w:t xml:space="preserve">Gate green: gofmt silent, go vet 0, golangci-lint 0 issues, 38/38 tests pass</w:t>
            </w:r>
          </w:p>
        </w:tc>
      </w:tr>
    </w:tbl>
    <w:p>
      <w:pPr>
        <w:pStyle w:val="Heading1"/>
        <w:spacing w:after="180" w:before="360"/>
      </w:pPr>
      <w:r>
        <w:rPr>
          <w:b/>
          <w:bCs/>
          <w:color w:val="1F3864"/>
          <w:sz w:val="30"/>
          <w:szCs w:val="30"/>
        </w:rPr>
        <w:t xml:space="preserve">1. Architectural Guardrails</w:t>
      </w:r>
    </w:p>
    <w:p>
      <w:pPr>
        <w:pStyle w:val="Heading2"/>
        <w:spacing w:after="130" w:before="260"/>
      </w:pPr>
      <w:r>
        <w:rPr>
          <w:b/>
          <w:bCs/>
          <w:color w:val="1F3864"/>
          <w:sz w:val="23"/>
          <w:szCs w:val="23"/>
        </w:rPr>
        <w:t xml:space="preserve">1.1 How the ADR constrained the implementation step</w:t>
      </w:r>
    </w:p>
    <w:p>
      <w:pPr>
        <w:spacing w:after="140" w:line="276"/>
      </w:pPr>
      <w:r>
        <w:rPr>
          <w:sz w:val="21"/>
          <w:szCs w:val="21"/>
        </w:rPr>
        <w:t xml:space="preserve">ADR 0001 did not act as documentation that the agent was asked to respect. It acted as a build-time constraint that existed before the code it governs, because the task list deliberately ordered it that way.</w:t>
      </w:r>
    </w:p>
    <w:p>
      <w:pPr>
        <w:pStyle w:val="ListParagraph"/>
        <w:numPr>
          <w:ilvl w:val="0"/>
          <w:numId w:val="2"/>
        </w:numPr>
        <w:spacing w:after="110" w:line="276"/>
      </w:pPr>
      <w:r>
        <w:rPr>
          <w:sz w:val="21"/>
          <w:szCs w:val="21"/>
        </w:rPr>
        <w:t xml:space="preserve">The linter configuration was written at T004. The persistence code was written at T024 — twenty tasks later. By the time </w:t>
      </w:r>
      <w:r>
        <w:rPr>
          <w:rFonts w:ascii="Consolas" w:cs="Consolas" w:eastAsia="Consolas" w:hAnsi="Consolas"/>
          <w:sz w:val="21"/>
          <w:szCs w:val="21"/>
        </w:rPr>
        <w:t xml:space="preserve">store.go</w:t>
      </w:r>
      <w:r>
        <w:rPr>
          <w:sz w:val="21"/>
          <w:szCs w:val="21"/>
        </w:rPr>
        <w:t xml:space="preserve"> had a single line in it, an allowlist permitting only </w:t>
      </w:r>
      <w:r>
        <w:rPr>
          <w:rFonts w:ascii="Consolas" w:cs="Consolas" w:eastAsia="Consolas" w:hAnsi="Consolas"/>
          <w:sz w:val="21"/>
          <w:szCs w:val="21"/>
        </w:rPr>
        <w:t xml:space="preserve">$gostd</w:t>
      </w:r>
      <w:r>
        <w:rPr>
          <w:sz w:val="21"/>
          <w:szCs w:val="21"/>
        </w:rPr>
        <w:t xml:space="preserve"> was already live and failing the build on anything else.</w:t>
      </w:r>
    </w:p>
    <w:p>
      <w:pPr>
        <w:pStyle w:val="ListParagraph"/>
        <w:numPr>
          <w:ilvl w:val="0"/>
          <w:numId w:val="2"/>
        </w:numPr>
        <w:spacing w:after="110" w:line="276"/>
      </w:pPr>
      <w:r>
        <w:rPr>
          <w:sz w:val="21"/>
          <w:szCs w:val="21"/>
        </w:rPr>
        <w:t xml:space="preserve">The task list separates two claims that are easy to conflate. T005 proves the configuration </w:t>
      </w:r>
      <w:r>
        <w:rPr>
          <w:i/>
          <w:iCs/>
          <w:sz w:val="21"/>
          <w:szCs w:val="21"/>
        </w:rPr>
        <w:t xml:space="preserve">parses and binds</w:t>
      </w:r>
      <w:r>
        <w:rPr>
          <w:sz w:val="21"/>
          <w:szCs w:val="21"/>
        </w:rPr>
        <w:t xml:space="preserve"> to all three scoped packages; its own wording notes that this "proves the rules are well-formed, not that they bite — nothing here imports anything yet." T039–T041 are what prove they reject.</w:t>
      </w:r>
    </w:p>
    <w:p>
      <w:pPr>
        <w:pStyle w:val="ListParagraph"/>
        <w:numPr>
          <w:ilvl w:val="0"/>
          <w:numId w:val="2"/>
        </w:numPr>
        <w:spacing w:after="110" w:line="276"/>
      </w:pPr>
      <w:r>
        <w:rPr>
          <w:sz w:val="21"/>
          <w:szCs w:val="21"/>
        </w:rPr>
        <w:t xml:space="preserve">ADR 0001 requires a negative </w:t>
      </w:r>
      <w:r>
        <w:rPr>
          <w:i/>
          <w:iCs/>
          <w:sz w:val="21"/>
          <w:szCs w:val="21"/>
        </w:rPr>
        <w:t xml:space="preserve">and</w:t>
      </w:r>
      <w:r>
        <w:rPr>
          <w:sz w:val="21"/>
          <w:szCs w:val="21"/>
        </w:rPr>
        <w:t xml:space="preserve"> a positive check. The positive one (T017) had to enter through </w:t>
      </w:r>
      <w:r>
        <w:rPr>
          <w:rFonts w:ascii="Consolas" w:cs="Consolas" w:eastAsia="Consolas" w:hAnsi="Consolas"/>
          <w:sz w:val="21"/>
          <w:szCs w:val="21"/>
        </w:rPr>
        <w:t xml:space="preserve">run()</w:t>
      </w:r>
      <w:r>
        <w:rPr>
          <w:sz w:val="21"/>
          <w:szCs w:val="21"/>
        </w:rPr>
        <w:t xml:space="preserve">, not call </w:t>
      </w:r>
      <w:r>
        <w:rPr>
          <w:rFonts w:ascii="Consolas" w:cs="Consolas" w:eastAsia="Consolas" w:hAnsi="Consolas"/>
          <w:sz w:val="21"/>
          <w:szCs w:val="21"/>
        </w:rPr>
        <w:t xml:space="preserve">storage.Save</w:t>
      </w:r>
      <w:r>
        <w:rPr>
          <w:sz w:val="21"/>
          <w:szCs w:val="21"/>
        </w:rPr>
        <w:t xml:space="preserve"> — a test that calls the storage package proves the package writes JSON and proves nothing about whether the application reaches it.</w:t>
      </w:r>
    </w:p>
    <w:p>
      <w:pPr>
        <w:spacing w:after="130" w:line="276"/>
      </w:pPr>
      <w:r>
        <w:rPr>
          <w:sz w:val="21"/>
          <w:szCs w:val="21"/>
        </w:rPr>
        <w:t xml:space="preserve">The five provocations run under T039–T041 confirm each rule rejects, and that the message names the governing decision rather than an anonymous lint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26"/>
      </w:tblGrid>
      <w:tr>
        <w:trPr>
          <w:tblHeader/>
        </w:trPr>
        <w:tc>
          <w:tcPr>
            <w:tcW w:type="dxa" w:w="2600"/>
            <w:shd w:fill="E7ECF5" w:val="clear"/>
            <w:tcMar>
              <w:top w:type="dxa" w:w="70"/>
              <w:left w:type="dxa" w:w="110"/>
              <w:bottom w:type="dxa" w:w="70"/>
              <w:right w:type="dxa" w:w="110"/>
            </w:tcMar>
          </w:tcPr>
          <w:p>
            <w:pPr>
              <w:spacing w:after="0" w:line="250"/>
            </w:pPr>
            <w:r>
              <w:rPr>
                <w:b/>
                <w:bCs/>
                <w:sz w:val="18"/>
                <w:szCs w:val="18"/>
              </w:rPr>
              <w:t xml:space="preserve">Import introduced</w:t>
            </w:r>
          </w:p>
        </w:tc>
        <w:tc>
          <w:tcPr>
            <w:tcW w:type="dxa" w:w="2100"/>
            <w:shd w:fill="E7ECF5" w:val="clear"/>
            <w:tcMar>
              <w:top w:type="dxa" w:w="70"/>
              <w:left w:type="dxa" w:w="110"/>
              <w:bottom w:type="dxa" w:w="70"/>
              <w:right w:type="dxa" w:w="110"/>
            </w:tcMar>
          </w:tcPr>
          <w:p>
            <w:pPr>
              <w:spacing w:after="0" w:line="250"/>
            </w:pPr>
            <w:r>
              <w:rPr>
                <w:b/>
                <w:bCs/>
                <w:sz w:val="18"/>
                <w:szCs w:val="18"/>
              </w:rPr>
              <w:t xml:space="preserve">In package</w:t>
            </w:r>
          </w:p>
        </w:tc>
        <w:tc>
          <w:tcPr>
            <w:tcW w:type="dxa" w:w="4326"/>
            <w:shd w:fill="E7ECF5" w:val="clear"/>
            <w:tcMar>
              <w:top w:type="dxa" w:w="70"/>
              <w:left w:type="dxa" w:w="110"/>
              <w:bottom w:type="dxa" w:w="70"/>
              <w:right w:type="dxa" w:w="110"/>
            </w:tcMar>
          </w:tcPr>
          <w:p>
            <w:pPr>
              <w:spacing w:after="0" w:line="250"/>
            </w:pPr>
            <w:r>
              <w:rPr>
                <w:b/>
                <w:bCs/>
                <w:sz w:val="18"/>
                <w:szCs w:val="18"/>
              </w:rPr>
              <w:t xml:space="preserve">Rejected, naming</w:t>
            </w:r>
          </w:p>
        </w:tc>
      </w:tr>
      <w:tr>
        <w:tc>
          <w:tcPr>
            <w:tcW w:type="dxa" w:w="2600"/>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database/sql</w:t>
            </w:r>
          </w:p>
        </w:tc>
        <w:tc>
          <w:tcPr>
            <w:tcW w:type="dxa" w:w="2100"/>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internal/storage</w:t>
            </w:r>
          </w:p>
        </w:tc>
        <w:tc>
          <w:tcPr>
            <w:tcW w:type="dxa" w:w="4326"/>
            <w:tcMar>
              <w:top w:type="dxa" w:w="70"/>
              <w:left w:type="dxa" w:w="110"/>
              <w:bottom w:type="dxa" w:w="70"/>
              <w:right w:type="dxa" w:w="110"/>
            </w:tcMar>
          </w:tcPr>
          <w:p>
            <w:pPr>
              <w:spacing w:after="0" w:line="250"/>
            </w:pPr>
            <w:r>
              <w:rPr>
                <w:b w:val="false"/>
                <w:bCs w:val="false"/>
                <w:sz w:val="18"/>
                <w:szCs w:val="18"/>
              </w:rPr>
              <w:t xml:space="preserve">ADR 0001</w:t>
            </w:r>
          </w:p>
        </w:tc>
      </w:tr>
      <w:tr>
        <w:tc>
          <w:tcPr>
            <w:tcW w:type="dxa" w:w="2600"/>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encoding/json</w:t>
            </w:r>
          </w:p>
        </w:tc>
        <w:tc>
          <w:tcPr>
            <w:tcW w:type="dxa" w:w="2100"/>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internal/task</w:t>
            </w:r>
          </w:p>
        </w:tc>
        <w:tc>
          <w:tcPr>
            <w:tcW w:type="dxa" w:w="4326"/>
            <w:tcMar>
              <w:top w:type="dxa" w:w="70"/>
              <w:left w:type="dxa" w:w="110"/>
              <w:bottom w:type="dxa" w:w="70"/>
              <w:right w:type="dxa" w:w="110"/>
            </w:tcMar>
          </w:tcPr>
          <w:p>
            <w:pPr>
              <w:spacing w:after="0" w:line="250"/>
            </w:pPr>
            <w:r>
              <w:rPr>
                <w:b w:val="false"/>
                <w:bCs w:val="false"/>
                <w:sz w:val="18"/>
                <w:szCs w:val="18"/>
              </w:rPr>
              <w:t xml:space="preserve">ADR 0001</w:t>
            </w:r>
          </w:p>
        </w:tc>
      </w:tr>
      <w:tr>
        <w:tc>
          <w:tcPr>
            <w:tcW w:type="dxa" w:w="2600"/>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os</w:t>
            </w:r>
          </w:p>
        </w:tc>
        <w:tc>
          <w:tcPr>
            <w:tcW w:type="dxa" w:w="2100"/>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internal/task</w:t>
            </w:r>
          </w:p>
        </w:tc>
        <w:tc>
          <w:tcPr>
            <w:tcW w:type="dxa" w:w="4326"/>
            <w:tcMar>
              <w:top w:type="dxa" w:w="70"/>
              <w:left w:type="dxa" w:w="110"/>
              <w:bottom w:type="dxa" w:w="70"/>
              <w:right w:type="dxa" w:w="110"/>
            </w:tcMar>
          </w:tcPr>
          <w:p>
            <w:pPr>
              <w:spacing w:after="0" w:line="250"/>
            </w:pPr>
            <w:r>
              <w:rPr>
                <w:b w:val="false"/>
                <w:bCs w:val="false"/>
                <w:sz w:val="18"/>
                <w:szCs w:val="18"/>
              </w:rPr>
              <w:t xml:space="preserve">ADR 0001</w:t>
            </w:r>
          </w:p>
        </w:tc>
      </w:tr>
      <w:tr>
        <w:tc>
          <w:tcPr>
            <w:tcW w:type="dxa" w:w="2600"/>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pomotask/internal/storage</w:t>
            </w:r>
          </w:p>
        </w:tc>
        <w:tc>
          <w:tcPr>
            <w:tcW w:type="dxa" w:w="2100"/>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internal/focus</w:t>
            </w:r>
          </w:p>
        </w:tc>
        <w:tc>
          <w:tcPr>
            <w:tcW w:type="dxa" w:w="4326"/>
            <w:tcMar>
              <w:top w:type="dxa" w:w="70"/>
              <w:left w:type="dxa" w:w="110"/>
              <w:bottom w:type="dxa" w:w="70"/>
              <w:right w:type="dxa" w:w="110"/>
            </w:tcMar>
          </w:tcPr>
          <w:p>
            <w:pPr>
              <w:spacing w:after="0" w:line="250"/>
            </w:pPr>
            <w:r>
              <w:rPr>
                <w:b w:val="false"/>
                <w:bCs w:val="false"/>
                <w:sz w:val="18"/>
                <w:szCs w:val="18"/>
              </w:rPr>
              <w:t xml:space="preserve">FR-014</w:t>
            </w:r>
          </w:p>
        </w:tc>
      </w:tr>
      <w:tr>
        <w:tc>
          <w:tcPr>
            <w:tcW w:type="dxa" w:w="2600"/>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os/signal</w:t>
            </w:r>
          </w:p>
        </w:tc>
        <w:tc>
          <w:tcPr>
            <w:tcW w:type="dxa" w:w="2100"/>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internal/focus</w:t>
            </w:r>
          </w:p>
        </w:tc>
        <w:tc>
          <w:tcPr>
            <w:tcW w:type="dxa" w:w="4326"/>
            <w:tcMar>
              <w:top w:type="dxa" w:w="70"/>
              <w:left w:type="dxa" w:w="110"/>
              <w:bottom w:type="dxa" w:w="70"/>
              <w:right w:type="dxa" w:w="110"/>
            </w:tcMar>
          </w:tcPr>
          <w:p>
            <w:pPr>
              <w:spacing w:after="0" w:line="250"/>
            </w:pPr>
            <w:r>
              <w:rPr>
                <w:b w:val="false"/>
                <w:bCs w:val="false"/>
                <w:sz w:val="18"/>
                <w:szCs w:val="18"/>
              </w:rPr>
              <w:t xml:space="preserve">"Signal handling belongs to cmd/pomotask alone"</w:t>
            </w:r>
          </w:p>
        </w:tc>
      </w:tr>
    </w:tbl>
    <w:p>
      <w:pPr>
        <w:pStyle w:val="Heading2"/>
        <w:spacing w:after="130" w:before="260"/>
      </w:pPr>
      <w:r>
        <w:rPr>
          <w:b/>
          <w:bCs/>
          <w:color w:val="1F3864"/>
          <w:sz w:val="23"/>
          <w:szCs w:val="23"/>
        </w:rPr>
        <w:t xml:space="preserve">1.2 Did the agent try to deviate from the persistence strategy?</w:t>
      </w:r>
    </w:p>
    <w:p>
      <w:pPr>
        <w:spacing w:after="140" w:line="276"/>
      </w:pPr>
      <w:r>
        <w:rPr>
          <w:b/>
          <w:bCs/>
          <w:sz w:val="21"/>
          <w:szCs w:val="21"/>
        </w:rPr>
        <w:t xml:space="preserve">No. </w:t>
      </w:r>
      <w:r>
        <w:rPr>
          <w:sz w:val="21"/>
          <w:szCs w:val="21"/>
        </w:rPr>
        <w:t xml:space="preserve">At no point was a database, driver, ORM, key-value store, or remote storage SDK proposed, drafted, or imported. The evidence is direct rather than inferred: </w:t>
      </w:r>
      <w:r>
        <w:rPr>
          <w:rFonts w:ascii="Consolas" w:cs="Consolas" w:eastAsia="Consolas" w:hAnsi="Consolas"/>
          <w:sz w:val="21"/>
          <w:szCs w:val="21"/>
        </w:rPr>
        <w:t xml:space="preserve">go.mod</w:t>
      </w:r>
      <w:r>
        <w:rPr>
          <w:sz w:val="21"/>
          <w:szCs w:val="21"/>
        </w:rPr>
        <w:t xml:space="preserve"> carries zero </w:t>
      </w:r>
      <w:r>
        <w:rPr>
          <w:rFonts w:ascii="Consolas" w:cs="Consolas" w:eastAsia="Consolas" w:hAnsi="Consolas"/>
          <w:sz w:val="21"/>
          <w:szCs w:val="21"/>
        </w:rPr>
        <w:t xml:space="preserve">require</w:t>
      </w:r>
      <w:r>
        <w:rPr>
          <w:sz w:val="21"/>
          <w:szCs w:val="21"/>
        </w:rPr>
        <w:t xml:space="preserve"> directives, </w:t>
      </w:r>
      <w:r>
        <w:rPr>
          <w:rFonts w:ascii="Consolas" w:cs="Consolas" w:eastAsia="Consolas" w:hAnsi="Consolas"/>
          <w:sz w:val="21"/>
          <w:szCs w:val="21"/>
        </w:rPr>
        <w:t xml:space="preserve">encoding/json</w:t>
      </w:r>
      <w:r>
        <w:rPr>
          <w:sz w:val="21"/>
          <w:szCs w:val="21"/>
        </w:rPr>
        <w:t xml:space="preserve"> appears in exactly one production file (</w:t>
      </w:r>
      <w:r>
        <w:rPr>
          <w:rFonts w:ascii="Consolas" w:cs="Consolas" w:eastAsia="Consolas" w:hAnsi="Consolas"/>
          <w:sz w:val="21"/>
          <w:szCs w:val="21"/>
        </w:rPr>
        <w:t xml:space="preserve">internal/storage/store.go</w:t>
      </w:r>
      <w:r>
        <w:rPr>
          <w:sz w:val="21"/>
          <w:szCs w:val="21"/>
        </w:rPr>
        <w:t xml:space="preserve">), and </w:t>
      </w:r>
      <w:r>
        <w:rPr>
          <w:rFonts w:ascii="Consolas" w:cs="Consolas" w:eastAsia="Consolas" w:hAnsi="Consolas"/>
          <w:sz w:val="21"/>
          <w:szCs w:val="21"/>
        </w:rPr>
        <w:t xml:space="preserve">internal/focus</w:t>
      </w:r>
      <w:r>
        <w:rPr>
          <w:sz w:val="21"/>
          <w:szCs w:val="21"/>
        </w:rPr>
        <w:t xml:space="preserve"> imports only </w:t>
      </w:r>
      <w:r>
        <w:rPr>
          <w:rFonts w:ascii="Consolas" w:cs="Consolas" w:eastAsia="Consolas" w:hAnsi="Consolas"/>
          <w:sz w:val="21"/>
          <w:szCs w:val="21"/>
        </w:rPr>
        <w:t xml:space="preserve">context, fmt, io, time</w:t>
      </w:r>
      <w:r>
        <w:rPr>
          <w:sz w:val="21"/>
          <w:szCs w:val="21"/>
        </w:rPr>
        <w:t xml:space="preserve">.</w:t>
      </w:r>
    </w:p>
    <w:p>
      <w:pPr>
        <w:spacing w:after="140" w:line="276"/>
      </w:pPr>
      <w:r>
        <w:rPr>
          <w:sz w:val="21"/>
          <w:szCs w:val="21"/>
        </w:rPr>
        <w:t xml:space="preserve">That is a weaker result than it sounds. The strategy was never contested, so the guardrail was never load-bearing against an agent pushing the other way. What it did do was make the boundary cheap to hold: with the rule live from T004 onward, keeping to the approved architecture required no discipline and no memory.</w:t>
      </w:r>
    </w:p>
    <w:p>
      <w:pPr>
        <w:spacing w:after="140" w:line="276"/>
      </w:pPr>
      <w:r>
        <w:rPr>
          <w:sz w:val="21"/>
          <w:szCs w:val="21"/>
        </w:rPr>
        <w:t xml:space="preserve">Two genuine departures did occur, and neither is the drift the question anticipates: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6"/>
      </w:tblGrid>
      <w:tr>
        <w:trPr>
          <w:tblHeader/>
        </w:trPr>
        <w:tc>
          <w:tcPr>
            <w:tcW w:type="dxa" w:w="700"/>
            <w:shd w:fill="E7ECF5" w:val="clear"/>
            <w:tcMar>
              <w:top w:type="dxa" w:w="70"/>
              <w:left w:type="dxa" w:w="110"/>
              <w:bottom w:type="dxa" w:w="70"/>
              <w:right w:type="dxa" w:w="110"/>
            </w:tcMar>
          </w:tcPr>
          <w:p>
            <w:pPr>
              <w:spacing w:after="0" w:line="250"/>
            </w:pPr>
            <w:r>
              <w:rPr>
                <w:b/>
                <w:bCs/>
                <w:sz w:val="18"/>
                <w:szCs w:val="18"/>
              </w:rPr>
              <w:t xml:space="preserve">#</w:t>
            </w:r>
          </w:p>
        </w:tc>
        <w:tc>
          <w:tcPr>
            <w:tcW w:type="dxa" w:w="3400"/>
            <w:shd w:fill="E7ECF5" w:val="clear"/>
            <w:tcMar>
              <w:top w:type="dxa" w:w="70"/>
              <w:left w:type="dxa" w:w="110"/>
              <w:bottom w:type="dxa" w:w="70"/>
              <w:right w:type="dxa" w:w="110"/>
            </w:tcMar>
          </w:tcPr>
          <w:p>
            <w:pPr>
              <w:spacing w:after="0" w:line="250"/>
            </w:pPr>
            <w:r>
              <w:rPr>
                <w:b/>
                <w:bCs/>
                <w:sz w:val="18"/>
                <w:szCs w:val="18"/>
              </w:rPr>
              <w:t xml:space="preserve">Departure</w:t>
            </w:r>
          </w:p>
        </w:tc>
        <w:tc>
          <w:tcPr>
            <w:tcW w:type="dxa" w:w="4926"/>
            <w:shd w:fill="E7ECF5" w:val="clear"/>
            <w:tcMar>
              <w:top w:type="dxa" w:w="70"/>
              <w:left w:type="dxa" w:w="110"/>
              <w:bottom w:type="dxa" w:w="70"/>
              <w:right w:type="dxa" w:w="110"/>
            </w:tcMar>
          </w:tcPr>
          <w:p>
            <w:pPr>
              <w:spacing w:after="0" w:line="250"/>
            </w:pPr>
            <w:r>
              <w:rPr>
                <w:b/>
                <w:bCs/>
                <w:sz w:val="18"/>
                <w:szCs w:val="18"/>
              </w:rPr>
              <w:t xml:space="preserve">What it actually was</w:t>
            </w:r>
          </w:p>
        </w:tc>
      </w:tr>
      <w:tr>
        <w:tc>
          <w:tcPr>
            <w:tcW w:type="dxa" w:w="700"/>
            <w:tcMar>
              <w:top w:type="dxa" w:w="70"/>
              <w:left w:type="dxa" w:w="110"/>
              <w:bottom w:type="dxa" w:w="70"/>
              <w:right w:type="dxa" w:w="110"/>
            </w:tcMar>
          </w:tcPr>
          <w:p>
            <w:pPr>
              <w:spacing w:after="0" w:line="250"/>
            </w:pPr>
            <w:r>
              <w:rPr>
                <w:b w:val="false"/>
                <w:bCs w:val="false"/>
                <w:sz w:val="18"/>
                <w:szCs w:val="18"/>
              </w:rPr>
              <w:t xml:space="preserve">G6</w:t>
            </w:r>
          </w:p>
        </w:tc>
        <w:tc>
          <w:tcPr>
            <w:tcW w:type="dxa" w:w="3400"/>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internal/storage</w:t>
            </w:r>
            <w:r>
              <w:rPr>
                <w:b w:val="false"/>
                <w:bCs w:val="false"/>
                <w:sz w:val="18"/>
                <w:szCs w:val="18"/>
              </w:rPr>
              <w:t xml:space="preserve"> imports </w:t>
            </w:r>
            <w:r>
              <w:rPr>
                <w:rFonts w:ascii="Consolas" w:cs="Consolas" w:eastAsia="Consolas" w:hAnsi="Consolas"/>
                <w:b w:val="false"/>
                <w:bCs w:val="false"/>
                <w:sz w:val="18"/>
                <w:szCs w:val="18"/>
              </w:rPr>
              <w:t xml:space="preserve">pomotask/internal/task</w:t>
            </w:r>
            <w:r>
              <w:rPr>
                <w:b w:val="false"/>
                <w:bCs w:val="false"/>
                <w:sz w:val="18"/>
                <w:szCs w:val="18"/>
              </w:rPr>
              <w:t xml:space="preserve">, which the ADR’s $gostd-only allowlist forbids</w:t>
            </w:r>
          </w:p>
        </w:tc>
        <w:tc>
          <w:tcPr>
            <w:tcW w:type="dxa" w:w="4926"/>
            <w:tcMar>
              <w:top w:type="dxa" w:w="70"/>
              <w:left w:type="dxa" w:w="110"/>
              <w:bottom w:type="dxa" w:w="70"/>
              <w:right w:type="dxa" w:w="110"/>
            </w:tcMar>
          </w:tcPr>
          <w:p>
            <w:pPr>
              <w:spacing w:after="0" w:line="250"/>
            </w:pPr>
            <w:r>
              <w:rPr>
                <w:b w:val="false"/>
                <w:bCs w:val="false"/>
                <w:sz w:val="18"/>
                <w:szCs w:val="18"/>
              </w:rPr>
              <w:t xml:space="preserve">Not agent drift — an internal contradiction in ADR 0001 itself. Its Decision clause forbids domain logic importing encoding/json, which forces the persistence package to own the conversion to the domain type; converting to a type means importing it. The Enforcement clause then forbids exactly that import. The two clauses cannot both hold for any design in which the persistence package persists tasks.</w:t>
            </w:r>
          </w:p>
        </w:tc>
      </w:tr>
      <w:tr>
        <w:tc>
          <w:tcPr>
            <w:tcW w:type="dxa" w:w="700"/>
            <w:tcMar>
              <w:top w:type="dxa" w:w="70"/>
              <w:left w:type="dxa" w:w="110"/>
              <w:bottom w:type="dxa" w:w="70"/>
              <w:right w:type="dxa" w:w="110"/>
            </w:tcMar>
          </w:tcPr>
          <w:p>
            <w:pPr>
              <w:spacing w:after="0" w:line="250"/>
            </w:pPr>
            <w:r>
              <w:rPr>
                <w:b w:val="false"/>
                <w:bCs w:val="false"/>
                <w:sz w:val="18"/>
                <w:szCs w:val="18"/>
              </w:rPr>
              <w:t xml:space="preserve">—</w:t>
            </w:r>
          </w:p>
        </w:tc>
        <w:tc>
          <w:tcPr>
            <w:tcW w:type="dxa" w:w="3400"/>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storage.Save</w:t>
            </w:r>
            <w:r>
              <w:rPr>
                <w:b w:val="false"/>
                <w:bCs w:val="false"/>
                <w:sz w:val="18"/>
                <w:szCs w:val="18"/>
              </w:rPr>
              <w:t xml:space="preserve"> calls </w:t>
            </w:r>
            <w:r>
              <w:rPr>
                <w:rFonts w:ascii="Consolas" w:cs="Consolas" w:eastAsia="Consolas" w:hAnsi="Consolas"/>
                <w:b w:val="false"/>
                <w:bCs w:val="false"/>
                <w:sz w:val="18"/>
                <w:szCs w:val="18"/>
              </w:rPr>
              <w:t xml:space="preserve">os.MkdirAll</w:t>
            </w:r>
            <w:r>
              <w:rPr>
                <w:b w:val="false"/>
                <w:bCs w:val="false"/>
                <w:sz w:val="18"/>
                <w:szCs w:val="18"/>
              </w:rPr>
              <w:t xml:space="preserve"> before the mandated CreateTemp + Rename</w:t>
            </w:r>
          </w:p>
        </w:tc>
        <w:tc>
          <w:tcPr>
            <w:tcW w:type="dxa" w:w="4926"/>
            <w:tcMar>
              <w:top w:type="dxa" w:w="70"/>
              <w:left w:type="dxa" w:w="110"/>
              <w:bottom w:type="dxa" w:w="70"/>
              <w:right w:type="dxa" w:w="110"/>
            </w:tcMar>
          </w:tcPr>
          <w:p>
            <w:pPr>
              <w:spacing w:after="0" w:line="250"/>
            </w:pPr>
            <w:r>
              <w:rPr>
                <w:b w:val="false"/>
                <w:bCs w:val="false"/>
                <w:sz w:val="18"/>
                <w:szCs w:val="18"/>
              </w:rPr>
              <w:t xml:space="preserve">An addition beyond the ADR’s literal write mandate, traced to SC-006 (a first-time user must need no setup step). Without it the first add fails on a clean machine. Recorded in the Save doc comment.</w:t>
            </w:r>
          </w:p>
        </w:tc>
      </w:tr>
    </w:tbl>
    <w:p>
      <w:pPr>
        <w:spacing w:after="130" w:line="276"/>
      </w:pPr>
      <w:r>
        <w:rPr>
          <w:sz w:val="21"/>
          <w:szCs w:val="21"/>
        </w:rPr>
        <w:t xml:space="preserve">G6 is the more interesting result of the whole exercise, and it inverts the premise of the question. The implementation did not drift from the ADR; the implementation is what exposed that the ADR disagreed with itself. Writing an enforceable allowlist forced a choice between two clauses that had coexisted comfortably while both were prose. A guardrail is only ever as coherent as the document behind it, and nothing discovers an incoherent document faster than trying to compile it.</w:t>
      </w:r>
    </w:p>
    <w:p>
      <w:pPr>
        <w:spacing w:after="140" w:line="276"/>
      </w:pPr>
      <w:r>
        <w:rPr>
          <w:sz w:val="21"/>
          <w:szCs w:val="21"/>
        </w:rPr>
        <w:t xml:space="preserve">The resolution was governance, not code: the departure was reported, the developer ratified it and directed that it be recorded in three places — a dated note under ADR 0001’s Enforcement section, entry G6 in the plan’s Gap register, and a comment in </w:t>
      </w:r>
      <w:r>
        <w:rPr>
          <w:rFonts w:ascii="Consolas" w:cs="Consolas" w:eastAsia="Consolas" w:hAnsi="Consolas"/>
          <w:sz w:val="21"/>
          <w:szCs w:val="21"/>
        </w:rPr>
        <w:t xml:space="preserve">.golangci.yml</w:t>
      </w:r>
      <w:r>
        <w:rPr>
          <w:sz w:val="21"/>
          <w:szCs w:val="21"/>
        </w:rPr>
        <w:t xml:space="preserve"> pointing at both. The reasoning behind that instruction matters for section 3: a reason that lives only in a configuration comment sits where nobody reading the documents will pass it.</w:t>
      </w:r>
    </w:p>
    <w:p>
      <w:r>
        <w:br w:type="page"/>
      </w:r>
    </w:p>
    <w:p>
      <w:pPr>
        <w:pStyle w:val="Heading1"/>
        <w:spacing w:after="180" w:before="360"/>
      </w:pPr>
      <w:r>
        <w:rPr>
          <w:b/>
          <w:bCs/>
          <w:color w:val="1F3864"/>
          <w:sz w:val="30"/>
          <w:szCs w:val="30"/>
        </w:rPr>
        <w:t xml:space="preserve">2. Closed-Loop Correction: how effective was /speckit-converge?</w:t>
      </w:r>
    </w:p>
    <w:p>
      <w:pPr>
        <w:pStyle w:val="Heading2"/>
        <w:spacing w:after="130" w:before="260"/>
      </w:pPr>
      <w:r>
        <w:rPr>
          <w:b/>
          <w:bCs/>
          <w:color w:val="1F3864"/>
          <w:sz w:val="23"/>
          <w:szCs w:val="23"/>
        </w:rPr>
        <w:t xml:space="preserve">2.1 Did it detect architectural drift?</w:t>
      </w:r>
    </w:p>
    <w:p>
      <w:pPr>
        <w:spacing w:after="140" w:line="276"/>
      </w:pPr>
      <w:r>
        <w:rPr>
          <w:b/>
          <w:bCs/>
          <w:sz w:val="21"/>
          <w:szCs w:val="21"/>
        </w:rPr>
        <w:t xml:space="preserve">No — and there was none to detect. </w:t>
      </w:r>
      <w:r>
        <w:rPr>
          <w:sz w:val="21"/>
          <w:szCs w:val="21"/>
        </w:rPr>
        <w:t xml:space="preserve">Both convergence runs assessed 16 functional requirements, 8 success criteria, 10 acceptance scenarios, 7 edge cases, 11 plan decisions, research decisions R1–R11, and 5 constitution principles. Every one was implemented and covered. Findings by gap type across both runs: </w:t>
      </w:r>
      <w:r>
        <w:rPr>
          <w:rFonts w:ascii="Consolas" w:cs="Consolas" w:eastAsia="Consolas" w:hAnsi="Consolas"/>
          <w:sz w:val="21"/>
          <w:szCs w:val="21"/>
        </w:rPr>
        <w:t xml:space="preserve">contradicts = 0</w:t>
      </w:r>
      <w:r>
        <w:rPr>
          <w:sz w:val="21"/>
          <w:szCs w:val="21"/>
        </w:rPr>
        <w:t xml:space="preserve">.</w:t>
      </w:r>
    </w:p>
    <w:p>
      <w:pPr>
        <w:spacing w:after="140" w:line="276"/>
      </w:pPr>
      <w:r>
        <w:rPr>
          <w:sz w:val="21"/>
          <w:szCs w:val="21"/>
        </w:rPr>
        <w:t xml:space="preserve">A clean drift result from a loop that has never been shown to catch drift is weak evidence about the loop. What the runs do support is a narrower and more useful claim, below.</w:t>
      </w:r>
    </w:p>
    <w:p>
      <w:pPr>
        <w:pStyle w:val="Heading2"/>
        <w:spacing w:after="130" w:before="260"/>
      </w:pPr>
      <w:r>
        <w:rPr>
          <w:b/>
          <w:bCs/>
          <w:color w:val="1F3864"/>
          <w:sz w:val="23"/>
          <w:szCs w:val="23"/>
        </w:rPr>
        <w:t xml:space="preserve">2.2 What it actually found</w:t>
      </w:r>
    </w:p>
    <w:p>
      <w:pPr>
        <w:spacing w:after="140" w:line="276"/>
      </w:pPr>
      <w:r>
        <w:rPr>
          <w:sz w:val="21"/>
          <w:szCs w:val="21"/>
        </w:rPr>
        <w:t xml:space="preserve">Run 1 produced six findings, none of them functional: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250"/>
        <w:gridCol w:w="5576"/>
      </w:tblGrid>
      <w:tr>
        <w:trPr>
          <w:tblHeader/>
        </w:trPr>
        <w:tc>
          <w:tcPr>
            <w:tcW w:type="dxa" w:w="700"/>
            <w:shd w:fill="E7ECF5" w:val="clear"/>
            <w:tcMar>
              <w:top w:type="dxa" w:w="70"/>
              <w:left w:type="dxa" w:w="110"/>
              <w:bottom w:type="dxa" w:w="70"/>
              <w:right w:type="dxa" w:w="110"/>
            </w:tcMar>
          </w:tcPr>
          <w:p>
            <w:pPr>
              <w:spacing w:after="0" w:line="250"/>
            </w:pPr>
            <w:r>
              <w:rPr>
                <w:b/>
                <w:bCs/>
                <w:sz w:val="18"/>
                <w:szCs w:val="18"/>
              </w:rPr>
              <w:t xml:space="preserve">ID</w:t>
            </w:r>
          </w:p>
        </w:tc>
        <w:tc>
          <w:tcPr>
            <w:tcW w:type="dxa" w:w="1500"/>
            <w:shd w:fill="E7ECF5" w:val="clear"/>
            <w:tcMar>
              <w:top w:type="dxa" w:w="70"/>
              <w:left w:type="dxa" w:w="110"/>
              <w:bottom w:type="dxa" w:w="70"/>
              <w:right w:type="dxa" w:w="110"/>
            </w:tcMar>
          </w:tcPr>
          <w:p>
            <w:pPr>
              <w:spacing w:after="0" w:line="250"/>
            </w:pPr>
            <w:r>
              <w:rPr>
                <w:b/>
                <w:bCs/>
                <w:sz w:val="18"/>
                <w:szCs w:val="18"/>
              </w:rPr>
              <w:t xml:space="preserve">Gap type</w:t>
            </w:r>
          </w:p>
        </w:tc>
        <w:tc>
          <w:tcPr>
            <w:tcW w:type="dxa" w:w="1250"/>
            <w:shd w:fill="E7ECF5" w:val="clear"/>
            <w:tcMar>
              <w:top w:type="dxa" w:w="70"/>
              <w:left w:type="dxa" w:w="110"/>
              <w:bottom w:type="dxa" w:w="70"/>
              <w:right w:type="dxa" w:w="110"/>
            </w:tcMar>
          </w:tcPr>
          <w:p>
            <w:pPr>
              <w:spacing w:after="0" w:line="250"/>
            </w:pPr>
            <w:r>
              <w:rPr>
                <w:b/>
                <w:bCs/>
                <w:sz w:val="18"/>
                <w:szCs w:val="18"/>
              </w:rPr>
              <w:t xml:space="preserve">Severity</w:t>
            </w:r>
          </w:p>
        </w:tc>
        <w:tc>
          <w:tcPr>
            <w:tcW w:type="dxa" w:w="5576"/>
            <w:shd w:fill="E7ECF5" w:val="clear"/>
            <w:tcMar>
              <w:top w:type="dxa" w:w="70"/>
              <w:left w:type="dxa" w:w="110"/>
              <w:bottom w:type="dxa" w:w="70"/>
              <w:right w:type="dxa" w:w="110"/>
            </w:tcMar>
          </w:tcPr>
          <w:p>
            <w:pPr>
              <w:spacing w:after="0" w:line="250"/>
            </w:pPr>
            <w:r>
              <w:rPr>
                <w:b/>
                <w:bCs/>
                <w:sz w:val="18"/>
                <w:szCs w:val="18"/>
              </w:rPr>
              <w:t xml:space="preserve">Finding</w:t>
            </w:r>
          </w:p>
        </w:tc>
      </w:tr>
      <w:tr>
        <w:tc>
          <w:tcPr>
            <w:tcW w:type="dxa" w:w="700"/>
            <w:tcMar>
              <w:top w:type="dxa" w:w="70"/>
              <w:left w:type="dxa" w:w="110"/>
              <w:bottom w:type="dxa" w:w="70"/>
              <w:right w:type="dxa" w:w="110"/>
            </w:tcMar>
          </w:tcPr>
          <w:p>
            <w:pPr>
              <w:spacing w:after="0" w:line="250"/>
            </w:pPr>
            <w:r>
              <w:rPr>
                <w:b w:val="false"/>
                <w:bCs w:val="false"/>
                <w:sz w:val="18"/>
                <w:szCs w:val="18"/>
              </w:rPr>
              <w:t xml:space="preserve">F6</w:t>
            </w:r>
          </w:p>
        </w:tc>
        <w:tc>
          <w:tcPr>
            <w:tcW w:type="dxa" w:w="1500"/>
            <w:tcMar>
              <w:top w:type="dxa" w:w="70"/>
              <w:left w:type="dxa" w:w="110"/>
              <w:bottom w:type="dxa" w:w="70"/>
              <w:right w:type="dxa" w:w="110"/>
            </w:tcMar>
          </w:tcPr>
          <w:p>
            <w:pPr>
              <w:spacing w:after="0" w:line="250"/>
            </w:pPr>
            <w:r>
              <w:rPr>
                <w:b w:val="false"/>
                <w:bCs w:val="false"/>
                <w:sz w:val="18"/>
                <w:szCs w:val="18"/>
              </w:rPr>
              <w:t xml:space="preserve">missing</w:t>
            </w:r>
          </w:p>
        </w:tc>
        <w:tc>
          <w:tcPr>
            <w:tcW w:type="dxa" w:w="1250"/>
            <w:tcMar>
              <w:top w:type="dxa" w:w="70"/>
              <w:left w:type="dxa" w:w="110"/>
              <w:bottom w:type="dxa" w:w="70"/>
              <w:right w:type="dxa" w:w="110"/>
            </w:tcMar>
          </w:tcPr>
          <w:p>
            <w:pPr>
              <w:spacing w:after="0" w:line="250"/>
            </w:pPr>
            <w:r>
              <w:rPr>
                <w:b w:val="false"/>
                <w:bCs w:val="false"/>
                <w:sz w:val="18"/>
                <w:szCs w:val="18"/>
              </w:rPr>
              <w:t xml:space="preserve">HIGH</w:t>
            </w:r>
          </w:p>
        </w:tc>
        <w:tc>
          <w:tcPr>
            <w:tcW w:type="dxa" w:w="5576"/>
            <w:tcMar>
              <w:top w:type="dxa" w:w="70"/>
              <w:left w:type="dxa" w:w="110"/>
              <w:bottom w:type="dxa" w:w="70"/>
              <w:right w:type="dxa" w:w="110"/>
            </w:tcMar>
          </w:tcPr>
          <w:p>
            <w:pPr>
              <w:spacing w:after="0" w:line="250"/>
            </w:pPr>
            <w:r>
              <w:rPr>
                <w:b w:val="false"/>
                <w:bCs w:val="false"/>
                <w:sz w:val="18"/>
                <w:szCs w:val="18"/>
              </w:rPr>
              <w:t xml:space="preserve">No .gitattributes: a Windows checkout with core.autocrlf=true yields CRLF, so the CI gofmt step — the first in the job — fails on all 11 Go files, killing the Windows leg of the matrix before it reaches vet, lint, or tests</w:t>
            </w:r>
          </w:p>
        </w:tc>
      </w:tr>
      <w:tr>
        <w:tc>
          <w:tcPr>
            <w:tcW w:type="dxa" w:w="700"/>
            <w:tcMar>
              <w:top w:type="dxa" w:w="70"/>
              <w:left w:type="dxa" w:w="110"/>
              <w:bottom w:type="dxa" w:w="70"/>
              <w:right w:type="dxa" w:w="110"/>
            </w:tcMar>
          </w:tcPr>
          <w:p>
            <w:pPr>
              <w:spacing w:after="0" w:line="250"/>
            </w:pPr>
            <w:r>
              <w:rPr>
                <w:b w:val="false"/>
                <w:bCs w:val="false"/>
                <w:sz w:val="18"/>
                <w:szCs w:val="18"/>
              </w:rPr>
              <w:t xml:space="preserve">F1</w:t>
            </w:r>
          </w:p>
        </w:tc>
        <w:tc>
          <w:tcPr>
            <w:tcW w:type="dxa" w:w="1500"/>
            <w:tcMar>
              <w:top w:type="dxa" w:w="70"/>
              <w:left w:type="dxa" w:w="110"/>
              <w:bottom w:type="dxa" w:w="70"/>
              <w:right w:type="dxa" w:w="110"/>
            </w:tcMar>
          </w:tcPr>
          <w:p>
            <w:pPr>
              <w:spacing w:after="0" w:line="250"/>
            </w:pPr>
            <w:r>
              <w:rPr>
                <w:b w:val="false"/>
                <w:bCs w:val="false"/>
                <w:sz w:val="18"/>
                <w:szCs w:val="18"/>
              </w:rPr>
              <w:t xml:space="preserve">partial</w:t>
            </w:r>
          </w:p>
        </w:tc>
        <w:tc>
          <w:tcPr>
            <w:tcW w:type="dxa" w:w="1250"/>
            <w:tcMar>
              <w:top w:type="dxa" w:w="70"/>
              <w:left w:type="dxa" w:w="110"/>
              <w:bottom w:type="dxa" w:w="70"/>
              <w:right w:type="dxa" w:w="110"/>
            </w:tcMar>
          </w:tcPr>
          <w:p>
            <w:pPr>
              <w:spacing w:after="0" w:line="250"/>
            </w:pPr>
            <w:r>
              <w:rPr>
                <w:b w:val="false"/>
                <w:bCs w:val="false"/>
                <w:sz w:val="18"/>
                <w:szCs w:val="18"/>
              </w:rPr>
              <w:t xml:space="preserve">MEDIUM</w:t>
            </w:r>
          </w:p>
        </w:tc>
        <w:tc>
          <w:tcPr>
            <w:tcW w:type="dxa" w:w="5576"/>
            <w:tcMar>
              <w:top w:type="dxa" w:w="70"/>
              <w:left w:type="dxa" w:w="110"/>
              <w:bottom w:type="dxa" w:w="70"/>
              <w:right w:type="dxa" w:w="110"/>
            </w:tcMar>
          </w:tcPr>
          <w:p>
            <w:pPr>
              <w:spacing w:after="0" w:line="250"/>
            </w:pPr>
            <w:r>
              <w:rPr>
                <w:b w:val="false"/>
                <w:bCs w:val="false"/>
                <w:sz w:val="18"/>
                <w:szCs w:val="18"/>
              </w:rPr>
              <w:t xml:space="preserve">plan.md says "two depguard rules"; the configuration carries three named lists, with the reason only in a YAML comment</w:t>
            </w:r>
          </w:p>
        </w:tc>
      </w:tr>
      <w:tr>
        <w:tc>
          <w:tcPr>
            <w:tcW w:type="dxa" w:w="700"/>
            <w:tcMar>
              <w:top w:type="dxa" w:w="70"/>
              <w:left w:type="dxa" w:w="110"/>
              <w:bottom w:type="dxa" w:w="70"/>
              <w:right w:type="dxa" w:w="110"/>
            </w:tcMar>
          </w:tcPr>
          <w:p>
            <w:pPr>
              <w:spacing w:after="0" w:line="250"/>
            </w:pPr>
            <w:r>
              <w:rPr>
                <w:b w:val="false"/>
                <w:bCs w:val="false"/>
                <w:sz w:val="18"/>
                <w:szCs w:val="18"/>
              </w:rPr>
              <w:t xml:space="preserve">F2</w:t>
            </w:r>
          </w:p>
        </w:tc>
        <w:tc>
          <w:tcPr>
            <w:tcW w:type="dxa" w:w="1500"/>
            <w:tcMar>
              <w:top w:type="dxa" w:w="70"/>
              <w:left w:type="dxa" w:w="110"/>
              <w:bottom w:type="dxa" w:w="70"/>
              <w:right w:type="dxa" w:w="110"/>
            </w:tcMar>
          </w:tcPr>
          <w:p>
            <w:pPr>
              <w:spacing w:after="0" w:line="250"/>
            </w:pPr>
            <w:r>
              <w:rPr>
                <w:b w:val="false"/>
                <w:bCs w:val="false"/>
                <w:sz w:val="18"/>
                <w:szCs w:val="18"/>
              </w:rPr>
              <w:t xml:space="preserve">missing</w:t>
            </w:r>
          </w:p>
        </w:tc>
        <w:tc>
          <w:tcPr>
            <w:tcW w:type="dxa" w:w="1250"/>
            <w:tcMar>
              <w:top w:type="dxa" w:w="70"/>
              <w:left w:type="dxa" w:w="110"/>
              <w:bottom w:type="dxa" w:w="70"/>
              <w:right w:type="dxa" w:w="110"/>
            </w:tcMar>
          </w:tcPr>
          <w:p>
            <w:pPr>
              <w:spacing w:after="0" w:line="250"/>
            </w:pPr>
            <w:r>
              <w:rPr>
                <w:b w:val="false"/>
                <w:bCs w:val="false"/>
                <w:sz w:val="18"/>
                <w:szCs w:val="18"/>
              </w:rPr>
              <w:t xml:space="preserve">MEDIUM</w:t>
            </w:r>
          </w:p>
        </w:tc>
        <w:tc>
          <w:tcPr>
            <w:tcW w:type="dxa" w:w="5576"/>
            <w:tcMar>
              <w:top w:type="dxa" w:w="70"/>
              <w:left w:type="dxa" w:w="110"/>
              <w:bottom w:type="dxa" w:w="70"/>
              <w:right w:type="dxa" w:w="110"/>
            </w:tcMar>
          </w:tcPr>
          <w:p>
            <w:pPr>
              <w:spacing w:after="0" w:line="250"/>
            </w:pPr>
            <w:r>
              <w:rPr>
                <w:b w:val="false"/>
                <w:bCs w:val="false"/>
                <w:sz w:val="18"/>
                <w:szCs w:val="18"/>
              </w:rPr>
              <w:t xml:space="preserve">SC-004’s manual verification was ticked off with no measured figure recorded in any artifact</w:t>
            </w:r>
          </w:p>
        </w:tc>
      </w:tr>
      <w:tr>
        <w:tc>
          <w:tcPr>
            <w:tcW w:type="dxa" w:w="700"/>
            <w:tcMar>
              <w:top w:type="dxa" w:w="70"/>
              <w:left w:type="dxa" w:w="110"/>
              <w:bottom w:type="dxa" w:w="70"/>
              <w:right w:type="dxa" w:w="110"/>
            </w:tcMar>
          </w:tcPr>
          <w:p>
            <w:pPr>
              <w:spacing w:after="0" w:line="250"/>
            </w:pPr>
            <w:r>
              <w:rPr>
                <w:b w:val="false"/>
                <w:bCs w:val="false"/>
                <w:sz w:val="18"/>
                <w:szCs w:val="18"/>
              </w:rPr>
              <w:t xml:space="preserve">F3</w:t>
            </w:r>
          </w:p>
        </w:tc>
        <w:tc>
          <w:tcPr>
            <w:tcW w:type="dxa" w:w="1500"/>
            <w:tcMar>
              <w:top w:type="dxa" w:w="70"/>
              <w:left w:type="dxa" w:w="110"/>
              <w:bottom w:type="dxa" w:w="70"/>
              <w:right w:type="dxa" w:w="110"/>
            </w:tcMar>
          </w:tcPr>
          <w:p>
            <w:pPr>
              <w:spacing w:after="0" w:line="250"/>
            </w:pPr>
            <w:r>
              <w:rPr>
                <w:b w:val="false"/>
                <w:bCs w:val="false"/>
                <w:sz w:val="18"/>
                <w:szCs w:val="18"/>
              </w:rPr>
              <w:t xml:space="preserve">missing</w:t>
            </w:r>
          </w:p>
        </w:tc>
        <w:tc>
          <w:tcPr>
            <w:tcW w:type="dxa" w:w="1250"/>
            <w:tcMar>
              <w:top w:type="dxa" w:w="70"/>
              <w:left w:type="dxa" w:w="110"/>
              <w:bottom w:type="dxa" w:w="70"/>
              <w:right w:type="dxa" w:w="110"/>
            </w:tcMar>
          </w:tcPr>
          <w:p>
            <w:pPr>
              <w:spacing w:after="0" w:line="250"/>
            </w:pPr>
            <w:r>
              <w:rPr>
                <w:b w:val="false"/>
                <w:bCs w:val="false"/>
                <w:sz w:val="18"/>
                <w:szCs w:val="18"/>
              </w:rPr>
              <w:t xml:space="preserve">MEDIUM</w:t>
            </w:r>
          </w:p>
        </w:tc>
        <w:tc>
          <w:tcPr>
            <w:tcW w:type="dxa" w:w="5576"/>
            <w:tcMar>
              <w:top w:type="dxa" w:w="70"/>
              <w:left w:type="dxa" w:w="110"/>
              <w:bottom w:type="dxa" w:w="70"/>
              <w:right w:type="dxa" w:w="110"/>
            </w:tcMar>
          </w:tcPr>
          <w:p>
            <w:pPr>
              <w:spacing w:after="0" w:line="250"/>
            </w:pPr>
            <w:r>
              <w:rPr>
                <w:b w:val="false"/>
                <w:bCs w:val="false"/>
                <w:sz w:val="18"/>
                <w:szCs w:val="18"/>
              </w:rPr>
              <w:t xml:space="preserve">No test referenced productionTick; changing it to time.Second left the entire suite green</w:t>
            </w:r>
          </w:p>
        </w:tc>
      </w:tr>
      <w:tr>
        <w:tc>
          <w:tcPr>
            <w:tcW w:type="dxa" w:w="700"/>
            <w:tcMar>
              <w:top w:type="dxa" w:w="70"/>
              <w:left w:type="dxa" w:w="110"/>
              <w:bottom w:type="dxa" w:w="70"/>
              <w:right w:type="dxa" w:w="110"/>
            </w:tcMar>
          </w:tcPr>
          <w:p>
            <w:pPr>
              <w:spacing w:after="0" w:line="250"/>
            </w:pPr>
            <w:r>
              <w:rPr>
                <w:b w:val="false"/>
                <w:bCs w:val="false"/>
                <w:sz w:val="18"/>
                <w:szCs w:val="18"/>
              </w:rPr>
              <w:t xml:space="preserve">F4</w:t>
            </w:r>
          </w:p>
        </w:tc>
        <w:tc>
          <w:tcPr>
            <w:tcW w:type="dxa" w:w="1500"/>
            <w:tcMar>
              <w:top w:type="dxa" w:w="70"/>
              <w:left w:type="dxa" w:w="110"/>
              <w:bottom w:type="dxa" w:w="70"/>
              <w:right w:type="dxa" w:w="110"/>
            </w:tcMar>
          </w:tcPr>
          <w:p>
            <w:pPr>
              <w:spacing w:after="0" w:line="250"/>
            </w:pPr>
            <w:r>
              <w:rPr>
                <w:b w:val="false"/>
                <w:bCs w:val="false"/>
                <w:sz w:val="18"/>
                <w:szCs w:val="18"/>
              </w:rPr>
              <w:t xml:space="preserve">partial</w:t>
            </w:r>
          </w:p>
        </w:tc>
        <w:tc>
          <w:tcPr>
            <w:tcW w:type="dxa" w:w="1250"/>
            <w:tcMar>
              <w:top w:type="dxa" w:w="70"/>
              <w:left w:type="dxa" w:w="110"/>
              <w:bottom w:type="dxa" w:w="70"/>
              <w:right w:type="dxa" w:w="110"/>
            </w:tcMar>
          </w:tcPr>
          <w:p>
            <w:pPr>
              <w:spacing w:after="0" w:line="250"/>
            </w:pPr>
            <w:r>
              <w:rPr>
                <w:b w:val="false"/>
                <w:bCs w:val="false"/>
                <w:sz w:val="18"/>
                <w:szCs w:val="18"/>
              </w:rPr>
              <w:t xml:space="preserve">LOW</w:t>
            </w:r>
          </w:p>
        </w:tc>
        <w:tc>
          <w:tcPr>
            <w:tcW w:type="dxa" w:w="5576"/>
            <w:tcMar>
              <w:top w:type="dxa" w:w="70"/>
              <w:left w:type="dxa" w:w="110"/>
              <w:bottom w:type="dxa" w:w="70"/>
              <w:right w:type="dxa" w:w="110"/>
            </w:tcMar>
          </w:tcPr>
          <w:p>
            <w:pPr>
              <w:spacing w:after="0" w:line="250"/>
            </w:pPr>
            <w:r>
              <w:rPr>
                <w:b w:val="false"/>
                <w:bCs w:val="false"/>
                <w:sz w:val="18"/>
                <w:szCs w:val="18"/>
              </w:rPr>
              <w:t xml:space="preserve">plan.md’s source tree omitted four files the implementation produced</w:t>
            </w:r>
          </w:p>
        </w:tc>
      </w:tr>
      <w:tr>
        <w:tc>
          <w:tcPr>
            <w:tcW w:type="dxa" w:w="700"/>
            <w:tcMar>
              <w:top w:type="dxa" w:w="70"/>
              <w:left w:type="dxa" w:w="110"/>
              <w:bottom w:type="dxa" w:w="70"/>
              <w:right w:type="dxa" w:w="110"/>
            </w:tcMar>
          </w:tcPr>
          <w:p>
            <w:pPr>
              <w:spacing w:after="0" w:line="250"/>
            </w:pPr>
            <w:r>
              <w:rPr>
                <w:b w:val="false"/>
                <w:bCs w:val="false"/>
                <w:sz w:val="18"/>
                <w:szCs w:val="18"/>
              </w:rPr>
              <w:t xml:space="preserve">F5</w:t>
            </w:r>
          </w:p>
        </w:tc>
        <w:tc>
          <w:tcPr>
            <w:tcW w:type="dxa" w:w="1500"/>
            <w:tcMar>
              <w:top w:type="dxa" w:w="70"/>
              <w:left w:type="dxa" w:w="110"/>
              <w:bottom w:type="dxa" w:w="70"/>
              <w:right w:type="dxa" w:w="110"/>
            </w:tcMar>
          </w:tcPr>
          <w:p>
            <w:pPr>
              <w:spacing w:after="0" w:line="250"/>
            </w:pPr>
            <w:r>
              <w:rPr>
                <w:b w:val="false"/>
                <w:bCs w:val="false"/>
                <w:sz w:val="18"/>
                <w:szCs w:val="18"/>
              </w:rPr>
              <w:t xml:space="preserve">unrequested</w:t>
            </w:r>
          </w:p>
        </w:tc>
        <w:tc>
          <w:tcPr>
            <w:tcW w:type="dxa" w:w="1250"/>
            <w:tcMar>
              <w:top w:type="dxa" w:w="70"/>
              <w:left w:type="dxa" w:w="110"/>
              <w:bottom w:type="dxa" w:w="70"/>
              <w:right w:type="dxa" w:w="110"/>
            </w:tcMar>
          </w:tcPr>
          <w:p>
            <w:pPr>
              <w:spacing w:after="0" w:line="250"/>
            </w:pPr>
            <w:r>
              <w:rPr>
                <w:b w:val="false"/>
                <w:bCs w:val="false"/>
                <w:sz w:val="18"/>
                <w:szCs w:val="18"/>
              </w:rPr>
              <w:t xml:space="preserve">LOW</w:t>
            </w:r>
          </w:p>
        </w:tc>
        <w:tc>
          <w:tcPr>
            <w:tcW w:type="dxa" w:w="5576"/>
            <w:tcMar>
              <w:top w:type="dxa" w:w="70"/>
              <w:left w:type="dxa" w:w="110"/>
              <w:bottom w:type="dxa" w:w="70"/>
              <w:right w:type="dxa" w:w="110"/>
            </w:tcMar>
          </w:tcPr>
          <w:p>
            <w:pPr>
              <w:spacing w:after="0" w:line="250"/>
            </w:pPr>
            <w:r>
              <w:rPr>
                <w:b w:val="false"/>
                <w:bCs w:val="false"/>
                <w:sz w:val="18"/>
                <w:szCs w:val="18"/>
              </w:rPr>
              <w:t xml:space="preserve">Outcome.String() traced to no requirement or ADR and was called from one test line</w:t>
            </w:r>
          </w:p>
        </w:tc>
      </w:tr>
    </w:tbl>
    <w:p>
      <w:pPr>
        <w:spacing w:after="130" w:line="276"/>
      </w:pPr>
      <w:r>
        <w:rPr>
          <w:sz w:val="21"/>
          <w:szCs w:val="21"/>
        </w:rPr>
        <w:t xml:space="preserve">Run 2, after those were closed, correctly reported converged and left tasks.md byte-for-byte unchanged. That is the harder behaviour of the two: a loop that always finds something is a loop that manufactures work.</w:t>
      </w:r>
    </w:p>
    <w:p>
      <w:pPr>
        <w:pStyle w:val="Heading2"/>
        <w:spacing w:after="130" w:before="260"/>
      </w:pPr>
      <w:r>
        <w:rPr>
          <w:b/>
          <w:bCs/>
          <w:color w:val="1F3864"/>
          <w:sz w:val="23"/>
          <w:szCs w:val="23"/>
        </w:rPr>
        <w:t xml:space="preserve">2.3 The limitation the runs exposed</w:t>
      </w:r>
    </w:p>
    <w:p>
      <w:pPr>
        <w:spacing w:after="140" w:line="276"/>
      </w:pPr>
      <w:r>
        <w:rPr>
          <w:b/>
          <w:bCs/>
          <w:sz w:val="21"/>
          <w:szCs w:val="21"/>
        </w:rPr>
        <w:t xml:space="preserve">The single highest-severity finding was not produced by the command’s prescribed method. </w:t>
      </w:r>
      <w:r>
        <w:rPr>
          <w:sz w:val="21"/>
          <w:szCs w:val="21"/>
        </w:rPr>
        <w:t xml:space="preserve">F6 surfaced because Git printed an incidental CRLF warning during an unrelated </w:t>
      </w:r>
      <w:r>
        <w:rPr>
          <w:rFonts w:ascii="Consolas" w:cs="Consolas" w:eastAsia="Consolas" w:hAnsi="Consolas"/>
          <w:sz w:val="21"/>
          <w:szCs w:val="21"/>
        </w:rPr>
        <w:t xml:space="preserve">git diff</w:t>
      </w:r>
      <w:r>
        <w:rPr>
          <w:sz w:val="21"/>
          <w:szCs w:val="21"/>
        </w:rPr>
        <w:t xml:space="preserve">, which prompted a clean-clone experiment. Converge’s procedure builds an inventory of requirements, criteria and plan decisions and assesses the code against each. F6 corresponds to no FR, no SC, and no plan clause — it is a defect in the interaction between Git’s checkout behaviour and a CI step. No amount of diligence applying the prescribed method would have produced it.</w:t>
      </w:r>
    </w:p>
    <w:p>
      <w:pPr>
        <w:spacing w:after="140" w:line="276"/>
      </w:pPr>
      <w:r>
        <w:rPr>
          <w:sz w:val="21"/>
          <w:szCs w:val="21"/>
        </w:rPr>
        <w:t xml:space="preserve">Two structural weaknesses follow:</w:t>
      </w:r>
    </w:p>
    <w:p>
      <w:pPr>
        <w:pStyle w:val="ListParagraph"/>
        <w:numPr>
          <w:ilvl w:val="0"/>
          <w:numId w:val="2"/>
        </w:numPr>
        <w:spacing w:after="110" w:line="276"/>
      </w:pPr>
      <w:r>
        <w:rPr>
          <w:b/>
          <w:bCs/>
          <w:sz w:val="21"/>
          <w:szCs w:val="21"/>
        </w:rPr>
        <w:t xml:space="preserve">Vocabulary blindness. </w:t>
      </w:r>
      <w:r>
        <w:rPr>
          <w:sz w:val="21"/>
          <w:szCs w:val="21"/>
        </w:rPr>
        <w:t xml:space="preserve">The loop can only assess what the artifacts already name. Everything the specification did not anticipate is outside its field of view, and the more thorough the artifacts, the more convincing that blind spot looks.</w:t>
      </w:r>
    </w:p>
    <w:p>
      <w:pPr>
        <w:pStyle w:val="ListParagraph"/>
        <w:numPr>
          <w:ilvl w:val="0"/>
          <w:numId w:val="2"/>
        </w:numPr>
        <w:spacing w:after="110" w:line="276"/>
      </w:pPr>
      <w:r>
        <w:rPr>
          <w:b/>
          <w:bCs/>
          <w:sz w:val="21"/>
          <w:szCs w:val="21"/>
        </w:rPr>
        <w:t xml:space="preserve">Self-assessment. </w:t>
      </w:r>
      <w:r>
        <w:rPr>
          <w:sz w:val="21"/>
          <w:szCs w:val="21"/>
        </w:rPr>
        <w:t xml:space="preserve">The agent that wrote the code is the agent that assesses it, against artifacts it also helped write. Nothing in the command counters that. The mitigation used here — twelve deliberate mutations of production code to confirm the tests actually fail (all twelve caught, including two that would have been silent before F3 was closed) — is not prescribed by converge and was applied on initiative.</w:t>
      </w:r>
    </w:p>
    <w:p>
      <w:pPr>
        <w:pStyle w:val="Heading2"/>
        <w:spacing w:after="130" w:before="260"/>
      </w:pPr>
      <w:r>
        <w:rPr>
          <w:b/>
          <w:bCs/>
          <w:color w:val="1F3864"/>
          <w:sz w:val="23"/>
          <w:szCs w:val="23"/>
        </w:rPr>
        <w:t xml:space="preserve">2.4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7ECF5" w:val="clear"/>
            <w:tcMar>
              <w:top w:type="dxa" w:w="70"/>
              <w:left w:type="dxa" w:w="110"/>
              <w:bottom w:type="dxa" w:w="70"/>
              <w:right w:type="dxa" w:w="110"/>
            </w:tcMar>
          </w:tcPr>
          <w:p>
            <w:pPr>
              <w:spacing w:after="0" w:line="250"/>
            </w:pPr>
            <w:r>
              <w:rPr>
                <w:b/>
                <w:bCs/>
                <w:sz w:val="18"/>
                <w:szCs w:val="18"/>
              </w:rPr>
              <w:t xml:space="preserve">As a…</w:t>
            </w:r>
          </w:p>
        </w:tc>
        <w:tc>
          <w:tcPr>
            <w:tcW w:type="dxa" w:w="6426"/>
            <w:shd w:fill="E7ECF5" w:val="clear"/>
            <w:tcMar>
              <w:top w:type="dxa" w:w="70"/>
              <w:left w:type="dxa" w:w="110"/>
              <w:bottom w:type="dxa" w:w="70"/>
              <w:right w:type="dxa" w:w="110"/>
            </w:tcMar>
          </w:tcPr>
          <w:p>
            <w:pPr>
              <w:spacing w:after="0" w:line="250"/>
            </w:pPr>
            <w:r>
              <w:rPr>
                <w:b/>
                <w:bCs/>
                <w:sz w:val="18"/>
                <w:szCs w:val="18"/>
              </w:rPr>
              <w:t xml:space="preserve">Assessment</w:t>
            </w:r>
          </w:p>
        </w:tc>
      </w:tr>
      <w:tr>
        <w:tc>
          <w:tcPr>
            <w:tcW w:type="dxa" w:w="2600"/>
            <w:tcMar>
              <w:top w:type="dxa" w:w="70"/>
              <w:left w:type="dxa" w:w="110"/>
              <w:bottom w:type="dxa" w:w="70"/>
              <w:right w:type="dxa" w:w="110"/>
            </w:tcMar>
          </w:tcPr>
          <w:p>
            <w:pPr>
              <w:spacing w:after="0" w:line="250"/>
            </w:pPr>
            <w:r>
              <w:rPr>
                <w:b w:val="false"/>
                <w:bCs w:val="false"/>
                <w:sz w:val="18"/>
                <w:szCs w:val="18"/>
              </w:rPr>
              <w:t xml:space="preserve">Traceability auditor</w:t>
            </w:r>
          </w:p>
        </w:tc>
        <w:tc>
          <w:tcPr>
            <w:tcW w:type="dxa" w:w="6426"/>
            <w:tcMar>
              <w:top w:type="dxa" w:w="70"/>
              <w:left w:type="dxa" w:w="110"/>
              <w:bottom w:type="dxa" w:w="70"/>
              <w:right w:type="dxa" w:w="110"/>
            </w:tcMar>
          </w:tcPr>
          <w:p>
            <w:pPr>
              <w:spacing w:after="0" w:line="250"/>
            </w:pPr>
            <w:r>
              <w:rPr>
                <w:b w:val="false"/>
                <w:bCs w:val="false"/>
                <w:sz w:val="18"/>
                <w:szCs w:val="18"/>
              </w:rPr>
              <w:t xml:space="preserve">Effective. It found five real gaps between what the artifacts claimed and what existed, including a constant that no test guarded and a success criterion whose only evidence was a ticked box.</w:t>
            </w:r>
          </w:p>
        </w:tc>
      </w:tr>
      <w:tr>
        <w:tc>
          <w:tcPr>
            <w:tcW w:type="dxa" w:w="2600"/>
            <w:tcMar>
              <w:top w:type="dxa" w:w="70"/>
              <w:left w:type="dxa" w:w="110"/>
              <w:bottom w:type="dxa" w:w="70"/>
              <w:right w:type="dxa" w:w="110"/>
            </w:tcMar>
          </w:tcPr>
          <w:p>
            <w:pPr>
              <w:spacing w:after="0" w:line="250"/>
            </w:pPr>
            <w:r>
              <w:rPr>
                <w:b w:val="false"/>
                <w:bCs w:val="false"/>
                <w:sz w:val="18"/>
                <w:szCs w:val="18"/>
              </w:rPr>
              <w:t xml:space="preserve">Drift detector</w:t>
            </w:r>
          </w:p>
        </w:tc>
        <w:tc>
          <w:tcPr>
            <w:tcW w:type="dxa" w:w="6426"/>
            <w:tcMar>
              <w:top w:type="dxa" w:w="70"/>
              <w:left w:type="dxa" w:w="110"/>
              <w:bottom w:type="dxa" w:w="70"/>
              <w:right w:type="dxa" w:w="110"/>
            </w:tcMar>
          </w:tcPr>
          <w:p>
            <w:pPr>
              <w:spacing w:after="0" w:line="250"/>
            </w:pPr>
            <w:r>
              <w:rPr>
                <w:b w:val="false"/>
                <w:bCs w:val="false"/>
                <w:sz w:val="18"/>
                <w:szCs w:val="18"/>
              </w:rPr>
              <w:t xml:space="preserve">Unproven. No drift occurred, so the capability was never exercised.</w:t>
            </w:r>
          </w:p>
        </w:tc>
      </w:tr>
      <w:tr>
        <w:tc>
          <w:tcPr>
            <w:tcW w:type="dxa" w:w="2600"/>
            <w:tcMar>
              <w:top w:type="dxa" w:w="70"/>
              <w:left w:type="dxa" w:w="110"/>
              <w:bottom w:type="dxa" w:w="70"/>
              <w:right w:type="dxa" w:w="110"/>
            </w:tcMar>
          </w:tcPr>
          <w:p>
            <w:pPr>
              <w:spacing w:after="0" w:line="250"/>
            </w:pPr>
            <w:r>
              <w:rPr>
                <w:b w:val="false"/>
                <w:bCs w:val="false"/>
                <w:sz w:val="18"/>
                <w:szCs w:val="18"/>
              </w:rPr>
              <w:t xml:space="preserve">Safety net</w:t>
            </w:r>
          </w:p>
        </w:tc>
        <w:tc>
          <w:tcPr>
            <w:tcW w:type="dxa" w:w="6426"/>
            <w:tcMar>
              <w:top w:type="dxa" w:w="70"/>
              <w:left w:type="dxa" w:w="110"/>
              <w:bottom w:type="dxa" w:w="70"/>
              <w:right w:type="dxa" w:w="110"/>
            </w:tcMar>
          </w:tcPr>
          <w:p>
            <w:pPr>
              <w:spacing w:after="0" w:line="250"/>
            </w:pPr>
            <w:r>
              <w:rPr>
                <w:b w:val="false"/>
                <w:bCs w:val="false"/>
                <w:sz w:val="18"/>
                <w:szCs w:val="18"/>
              </w:rPr>
              <w:t xml:space="preserve">Insufficient on its own. Its most valuable finding came from outside its own method, and its assessor is not independent of its subject.</w:t>
            </w:r>
          </w:p>
        </w:tc>
      </w:tr>
    </w:tbl>
    <w:p>
      <w:r>
        <w:br w:type="page"/>
      </w:r>
    </w:p>
    <w:p>
      <w:pPr>
        <w:pStyle w:val="Heading1"/>
        <w:spacing w:after="180" w:before="360"/>
      </w:pPr>
      <w:r>
        <w:rPr>
          <w:b/>
          <w:bCs/>
          <w:color w:val="1F3864"/>
          <w:sz w:val="30"/>
          <w:szCs w:val="30"/>
        </w:rPr>
        <w:t xml:space="preserve">3. Human-in-the-Loop Governance: ADR 0001 on the Pull Request</w:t>
      </w:r>
    </w:p>
    <w:p>
      <w:pPr>
        <w:pStyle w:val="Heading2"/>
        <w:spacing w:after="130" w:before="260"/>
      </w:pPr>
      <w:r>
        <w:rPr>
          <w:b/>
          <w:bCs/>
          <w:color w:val="1F3864"/>
          <w:sz w:val="23"/>
          <w:szCs w:val="23"/>
        </w:rPr>
        <w:t xml:space="preserve">3.1 The specific gap a reviewer must fill</w:t>
      </w:r>
    </w:p>
    <w:p>
      <w:pPr>
        <w:spacing w:after="140" w:line="276"/>
      </w:pPr>
      <w:r>
        <w:rPr>
          <w:b/>
          <w:bCs/>
          <w:sz w:val="21"/>
          <w:szCs w:val="21"/>
        </w:rPr>
        <w:t xml:space="preserve">depguard enforces the configuration, not the ADR. Nothing in the build compares the two. </w:t>
      </w:r>
      <w:r>
        <w:rPr>
          <w:sz w:val="21"/>
          <w:szCs w:val="21"/>
        </w:rPr>
        <w:t xml:space="preserve">This is not theoretical — it was demonstrated on this repository (section 4, scenario 2): adding </w:t>
      </w:r>
      <w:r>
        <w:rPr>
          <w:rFonts w:ascii="Consolas" w:cs="Consolas" w:eastAsia="Consolas" w:hAnsi="Consolas"/>
          <w:sz w:val="21"/>
          <w:szCs w:val="21"/>
        </w:rPr>
        <w:t xml:space="preserve">database/sql</w:t>
      </w:r>
      <w:r>
        <w:rPr>
          <w:sz w:val="21"/>
          <w:szCs w:val="21"/>
        </w:rPr>
        <w:t xml:space="preserve"> to the persistence package </w:t>
      </w:r>
      <w:r>
        <w:rPr>
          <w:i/>
          <w:iCs/>
          <w:sz w:val="21"/>
          <w:szCs w:val="21"/>
        </w:rPr>
        <w:t xml:space="preserve">and</w:t>
      </w:r>
      <w:r>
        <w:rPr>
          <w:sz w:val="21"/>
          <w:szCs w:val="21"/>
        </w:rPr>
        <w:t xml:space="preserve"> widening the allowlist in the same change makes </w:t>
      </w:r>
      <w:r>
        <w:rPr>
          <w:rFonts w:ascii="Consolas" w:cs="Consolas" w:eastAsia="Consolas" w:hAnsi="Consolas"/>
          <w:sz w:val="21"/>
          <w:szCs w:val="21"/>
        </w:rPr>
        <w:t xml:space="preserve">golangci-lint</w:t>
      </w:r>
      <w:r>
        <w:rPr>
          <w:sz w:val="21"/>
          <w:szCs w:val="21"/>
        </w:rPr>
        <w:t xml:space="preserve"> pass. The lint rule is configured by a file inside the repository, so the edit that introduces a prohibited backend can also remove the rule that would have caught it.</w:t>
      </w:r>
    </w:p>
    <w:p>
      <w:pPr>
        <w:spacing w:after="140" w:line="276"/>
      </w:pPr>
      <w:r>
        <w:rPr>
          <w:sz w:val="21"/>
          <w:szCs w:val="21"/>
        </w:rPr>
        <w:t xml:space="preserve">That is precisely the class of change an AI agent produces most naturally: it is optimising for a green build, and both files are equally editable. The build reports success, the tests report success, and the only remaining signal is a human reading the diff against a decision recorded elsewhere.</w:t>
      </w:r>
    </w:p>
    <w:p>
      <w:pPr>
        <w:pStyle w:val="Heading2"/>
        <w:spacing w:after="130" w:before="260"/>
      </w:pPr>
      <w:r>
        <w:rPr>
          <w:b/>
          <w:bCs/>
          <w:color w:val="1F3864"/>
          <w:sz w:val="23"/>
          <w:szCs w:val="23"/>
        </w:rPr>
        <w:t xml:space="preserve">3.2 What surfacing ADR 0001 on the PR changes</w:t>
      </w:r>
    </w:p>
    <w:p>
      <w:pPr>
        <w:pStyle w:val="ListParagraph"/>
        <w:numPr>
          <w:ilvl w:val="0"/>
          <w:numId w:val="2"/>
        </w:numPr>
        <w:spacing w:after="110" w:line="276"/>
      </w:pPr>
      <w:r>
        <w:rPr>
          <w:b/>
          <w:bCs/>
          <w:sz w:val="21"/>
          <w:szCs w:val="21"/>
        </w:rPr>
        <w:t xml:space="preserve">It puts the two texts side by side. </w:t>
      </w:r>
      <w:r>
        <w:rPr>
          <w:sz w:val="21"/>
          <w:szCs w:val="21"/>
        </w:rPr>
        <w:t xml:space="preserve">ADR 0001’s Enforcement paragraph says the allowlist permits "only the Go standard library ($gostd)". The configuration says </w:t>
      </w:r>
      <w:r>
        <w:rPr>
          <w:rFonts w:ascii="Consolas" w:cs="Consolas" w:eastAsia="Consolas" w:hAnsi="Consolas"/>
          <w:sz w:val="21"/>
          <w:szCs w:val="21"/>
        </w:rPr>
        <w:t xml:space="preserve">allow: [$gostd, pomotask/internal/task, pomotask/internal/storage]</w:t>
      </w:r>
      <w:r>
        <w:rPr>
          <w:sz w:val="21"/>
          <w:szCs w:val="21"/>
        </w:rPr>
        <w:t xml:space="preserve">. A reviewer who never opens </w:t>
      </w:r>
      <w:r>
        <w:rPr>
          <w:rFonts w:ascii="Consolas" w:cs="Consolas" w:eastAsia="Consolas" w:hAnsi="Consolas"/>
          <w:sz w:val="21"/>
          <w:szCs w:val="21"/>
        </w:rPr>
        <w:t xml:space="preserve">adr/</w:t>
      </w:r>
      <w:r>
        <w:rPr>
          <w:sz w:val="21"/>
          <w:szCs w:val="21"/>
        </w:rPr>
        <w:t xml:space="preserve"> cannot see that divergence today; a reviewer shown the clause beside the diff cannot miss it. This is exactly the G6 case, and it took the developer explicitly asking for it to be documented before it became visible at all.</w:t>
      </w:r>
    </w:p>
    <w:p>
      <w:pPr>
        <w:pStyle w:val="ListParagraph"/>
        <w:numPr>
          <w:ilvl w:val="0"/>
          <w:numId w:val="2"/>
        </w:numPr>
        <w:spacing w:after="110" w:line="276"/>
      </w:pPr>
      <w:r>
        <w:rPr>
          <w:b/>
          <w:bCs/>
          <w:sz w:val="21"/>
          <w:szCs w:val="21"/>
        </w:rPr>
        <w:t xml:space="preserve">It reaches the person who is governing rather than authoring. </w:t>
      </w:r>
      <w:r>
        <w:rPr>
          <w:sz w:val="21"/>
          <w:szCs w:val="21"/>
        </w:rPr>
        <w:t xml:space="preserve">The Constitution states that ADRs are "the developer’s control surface over architecture" and that "an agent that may revise them unilaterally removes that control." When the implementation is AI-generated, the review is the only point at which that control is exercised. Putting the control surface at that point is the whole idea.</w:t>
      </w:r>
    </w:p>
    <w:p>
      <w:pPr>
        <w:pStyle w:val="ListParagraph"/>
        <w:numPr>
          <w:ilvl w:val="0"/>
          <w:numId w:val="2"/>
        </w:numPr>
        <w:spacing w:after="110" w:line="276"/>
      </w:pPr>
      <w:r>
        <w:rPr>
          <w:b/>
          <w:bCs/>
          <w:sz w:val="21"/>
          <w:szCs w:val="21"/>
        </w:rPr>
        <w:t xml:space="preserve">It carries the parts of the ADR that no linter can encode. </w:t>
      </w:r>
      <w:r>
        <w:rPr>
          <w:sz w:val="21"/>
          <w:szCs w:val="21"/>
        </w:rPr>
        <w:t xml:space="preserve">ADR 0001 records assumptions (one local user, small dataset, concurrency not required), consequences accepted (lost updates under concurrent writes), and a review trigger (revisit one month after implementation, or sooner if any assumption becomes invalid). A PR that grows the dataset or introduces a second writer violates no rule and passes every check, while invalidating the reasoning the decision rests on.</w:t>
      </w:r>
    </w:p>
    <w:p>
      <w:pPr>
        <w:pStyle w:val="Heading2"/>
        <w:spacing w:after="130" w:before="260"/>
      </w:pPr>
      <w:r>
        <w:rPr>
          <w:b/>
          <w:bCs/>
          <w:color w:val="1F3864"/>
          <w:sz w:val="23"/>
          <w:szCs w:val="23"/>
        </w:rPr>
        <w:t xml:space="preserve">3.3 Where such a tool stops helping</w:t>
      </w:r>
    </w:p>
    <w:p>
      <w:pPr>
        <w:pStyle w:val="ListParagraph"/>
        <w:numPr>
          <w:ilvl w:val="0"/>
          <w:numId w:val="2"/>
        </w:numPr>
        <w:spacing w:after="110" w:line="276"/>
      </w:pPr>
      <w:r>
        <w:rPr>
          <w:b/>
          <w:bCs/>
          <w:sz w:val="21"/>
          <w:szCs w:val="21"/>
        </w:rPr>
        <w:t xml:space="preserve">It makes a departure visible; it cannot judge one. </w:t>
      </w:r>
      <w:r>
        <w:rPr>
          <w:sz w:val="21"/>
          <w:szCs w:val="21"/>
        </w:rPr>
        <w:t xml:space="preserve">G6 is a departure that </w:t>
      </w:r>
      <w:r>
        <w:rPr>
          <w:i/>
          <w:iCs/>
          <w:sz w:val="21"/>
          <w:szCs w:val="21"/>
        </w:rPr>
        <w:t xml:space="preserve">should</w:t>
      </w:r>
      <w:r>
        <w:rPr>
          <w:sz w:val="21"/>
          <w:szCs w:val="21"/>
        </w:rPr>
        <w:t xml:space="preserve"> be accepted — the alternative is an unbuildable design. A tool that flags every divergence and cannot rank them trains reviewers to dismiss it.</w:t>
      </w:r>
    </w:p>
    <w:p>
      <w:pPr>
        <w:pStyle w:val="ListParagraph"/>
        <w:numPr>
          <w:ilvl w:val="0"/>
          <w:numId w:val="2"/>
        </w:numPr>
        <w:spacing w:after="110" w:line="276"/>
      </w:pPr>
      <w:r>
        <w:rPr>
          <w:b/>
          <w:bCs/>
          <w:sz w:val="21"/>
          <w:szCs w:val="21"/>
        </w:rPr>
        <w:t xml:space="preserve">It cannot detect a departure the ADR itself makes inevitable. </w:t>
      </w:r>
      <w:r>
        <w:rPr>
          <w:sz w:val="21"/>
          <w:szCs w:val="21"/>
        </w:rPr>
        <w:t xml:space="preserve">Reading the Enforcement clause beside the configuration shows a mismatch. Recognising that the mismatch comes from the ADR’s Decision clause contradicting its own Enforcement clause requires reading both and reasoning about them — which is the human’s job and stayed the human’s job here.</w:t>
      </w:r>
    </w:p>
    <w:p>
      <w:pPr>
        <w:pStyle w:val="ListParagraph"/>
        <w:numPr>
          <w:ilvl w:val="0"/>
          <w:numId w:val="2"/>
        </w:numPr>
        <w:spacing w:after="110" w:line="276"/>
      </w:pPr>
      <w:r>
        <w:rPr>
          <w:b/>
          <w:bCs/>
          <w:sz w:val="21"/>
          <w:szCs w:val="21"/>
        </w:rPr>
        <w:t xml:space="preserve">Surfacing is not the same as blocking. </w:t>
      </w:r>
      <w:r>
        <w:rPr>
          <w:sz w:val="21"/>
          <w:szCs w:val="21"/>
        </w:rPr>
        <w:t xml:space="preserve">A reviewer under time pressure approves anyway. The automated check in section 4 exists because some invariants should never depend on someone reading carefully.</w:t>
      </w:r>
    </w:p>
    <w:p>
      <w:r>
        <w:br w:type="page"/>
      </w:r>
    </w:p>
    <w:p>
      <w:pPr>
        <w:pStyle w:val="Heading1"/>
        <w:spacing w:after="180" w:before="360"/>
      </w:pPr>
      <w:r>
        <w:rPr>
          <w:b/>
          <w:bCs/>
          <w:color w:val="1F3864"/>
          <w:sz w:val="30"/>
          <w:szCs w:val="30"/>
        </w:rPr>
        <w:t xml:space="preserve">4. Proposed automated check: an ADR fitness function independent of the linter</w:t>
      </w:r>
    </w:p>
    <w:p>
      <w:pPr>
        <w:pStyle w:val="Heading2"/>
        <w:spacing w:after="130" w:before="260"/>
      </w:pPr>
      <w:r>
        <w:rPr>
          <w:b/>
          <w:bCs/>
          <w:color w:val="1F3864"/>
          <w:sz w:val="23"/>
          <w:szCs w:val="23"/>
        </w:rPr>
        <w:t xml:space="preserve">4.1 What it is and why a second lock</w:t>
      </w:r>
    </w:p>
    <w:p>
      <w:pPr>
        <w:spacing w:after="140" w:line="276"/>
      </w:pPr>
      <w:r>
        <w:rPr>
          <w:sz w:val="21"/>
          <w:szCs w:val="21"/>
        </w:rPr>
        <w:t xml:space="preserve">A Go test at </w:t>
      </w:r>
      <w:r>
        <w:rPr>
          <w:rFonts w:ascii="Consolas" w:cs="Consolas" w:eastAsia="Consolas" w:hAnsi="Consolas"/>
          <w:sz w:val="21"/>
          <w:szCs w:val="21"/>
        </w:rPr>
        <w:t xml:space="preserve">internal/architecture/arch_test.go</w:t>
      </w:r>
      <w:r>
        <w:rPr>
          <w:sz w:val="21"/>
          <w:szCs w:val="21"/>
        </w:rPr>
        <w:t xml:space="preserve"> that reads the real import graph with </w:t>
      </w:r>
      <w:r>
        <w:rPr>
          <w:rFonts w:ascii="Consolas" w:cs="Consolas" w:eastAsia="Consolas" w:hAnsi="Consolas"/>
          <w:sz w:val="21"/>
          <w:szCs w:val="21"/>
        </w:rPr>
        <w:t xml:space="preserve">go/build</w:t>
      </w:r>
      <w:r>
        <w:rPr>
          <w:sz w:val="21"/>
          <w:szCs w:val="21"/>
        </w:rPr>
        <w:t xml:space="preserve"> and asserts ADR 0001’s dependency invariants directly, holding an exhaustive allowlist for </w:t>
      </w:r>
      <w:r>
        <w:rPr>
          <w:rFonts w:ascii="Consolas" w:cs="Consolas" w:eastAsia="Consolas" w:hAnsi="Consolas"/>
          <w:sz w:val="21"/>
          <w:szCs w:val="21"/>
        </w:rPr>
        <w:t xml:space="preserve">internal/storage</w:t>
      </w:r>
      <w:r>
        <w:rPr>
          <w:sz w:val="21"/>
          <w:szCs w:val="21"/>
        </w:rPr>
        <w:t xml:space="preserve"> — standard library included — with the authorising clause recorded as the value of each entry.</w:t>
      </w:r>
    </w:p>
    <w:p>
      <w:pPr>
        <w:spacing w:after="140" w:line="276"/>
      </w:pPr>
      <w:r>
        <w:rPr>
          <w:sz w:val="21"/>
          <w:szCs w:val="21"/>
        </w:rPr>
        <w:t xml:space="preserve">It deliberately duplicates depguard, and the duplication is the entire point. depguard obeys whatever the configuration currently says; this test obeys what is written in Go source alongside the code. Defeating both requires editing a file that states the ADR clause it enforces, which is a visible, arguable change at review rather than a one-line configuration tweak.</w:t>
      </w:r>
    </w:p>
    <w:p>
      <w:pPr>
        <w:spacing w:after="140" w:line="276"/>
      </w:pPr>
      <w:r>
        <w:rPr>
          <w:sz w:val="21"/>
          <w:szCs w:val="21"/>
        </w:rPr>
        <w:t xml:space="preserve">An allowlist over third-party packages alone would not do. database/sql is standard library, and it is the first thing ADR 0001 excludes — a rule screening only third-party imports waves it straight through. This was found by testing the proposal rather than reasoning about it, and the check was rewritten accordingly.</w:t>
      </w:r>
    </w:p>
    <w:p>
      <w:pPr>
        <w:pStyle w:val="Heading2"/>
        <w:spacing w:after="130" w:before="260"/>
      </w:pPr>
      <w:r>
        <w:rPr>
          <w:b/>
          <w:bCs/>
          <w:color w:val="1F3864"/>
          <w:sz w:val="23"/>
          <w:szCs w:val="23"/>
        </w:rPr>
        <w:t xml:space="preserve">4.2 Verified behaviour</w:t>
      </w:r>
    </w:p>
    <w:p>
      <w:pPr>
        <w:spacing w:after="130" w:line="276"/>
      </w:pPr>
      <w:r>
        <w:rPr>
          <w:sz w:val="21"/>
          <w:szCs w:val="21"/>
        </w:rPr>
        <w:t xml:space="preserve">Run against a copy of the real repository, with golangci-lint 2.12.2 for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tblHeader/>
        </w:trPr>
        <w:tc>
          <w:tcPr>
            <w:tcW w:type="dxa" w:w="4226"/>
            <w:shd w:fill="E7ECF5" w:val="clear"/>
            <w:tcMar>
              <w:top w:type="dxa" w:w="70"/>
              <w:left w:type="dxa" w:w="110"/>
              <w:bottom w:type="dxa" w:w="70"/>
              <w:right w:type="dxa" w:w="110"/>
            </w:tcMar>
          </w:tcPr>
          <w:p>
            <w:pPr>
              <w:spacing w:after="0" w:line="250"/>
            </w:pPr>
            <w:r>
              <w:rPr>
                <w:b/>
                <w:bCs/>
                <w:sz w:val="18"/>
                <w:szCs w:val="18"/>
              </w:rPr>
              <w:t xml:space="preserve">Scenario</w:t>
            </w:r>
          </w:p>
        </w:tc>
        <w:tc>
          <w:tcPr>
            <w:tcW w:type="dxa" w:w="2400"/>
            <w:shd w:fill="E7ECF5" w:val="clear"/>
            <w:tcMar>
              <w:top w:type="dxa" w:w="70"/>
              <w:left w:type="dxa" w:w="110"/>
              <w:bottom w:type="dxa" w:w="70"/>
              <w:right w:type="dxa" w:w="110"/>
            </w:tcMar>
          </w:tcPr>
          <w:p>
            <w:pPr>
              <w:spacing w:after="0" w:line="250"/>
            </w:pPr>
            <w:r>
              <w:rPr>
                <w:b/>
                <w:bCs/>
                <w:sz w:val="18"/>
                <w:szCs w:val="18"/>
              </w:rPr>
              <w:t xml:space="preserve">depguard</w:t>
            </w:r>
          </w:p>
        </w:tc>
        <w:tc>
          <w:tcPr>
            <w:tcW w:type="dxa" w:w="2400"/>
            <w:shd w:fill="E7ECF5" w:val="clear"/>
            <w:tcMar>
              <w:top w:type="dxa" w:w="70"/>
              <w:left w:type="dxa" w:w="110"/>
              <w:bottom w:type="dxa" w:w="70"/>
              <w:right w:type="dxa" w:w="110"/>
            </w:tcMar>
          </w:tcPr>
          <w:p>
            <w:pPr>
              <w:spacing w:after="0" w:line="250"/>
            </w:pPr>
            <w:r>
              <w:rPr>
                <w:b/>
                <w:bCs/>
                <w:sz w:val="18"/>
                <w:szCs w:val="18"/>
              </w:rPr>
              <w:t xml:space="preserve">Fitness test</w:t>
            </w:r>
          </w:p>
        </w:tc>
      </w:tr>
      <w:tr>
        <w:tc>
          <w:tcPr>
            <w:tcW w:type="dxa" w:w="4226"/>
            <w:tcMar>
              <w:top w:type="dxa" w:w="70"/>
              <w:left w:type="dxa" w:w="110"/>
              <w:bottom w:type="dxa" w:w="70"/>
              <w:right w:type="dxa" w:w="110"/>
            </w:tcMar>
          </w:tcPr>
          <w:p>
            <w:pPr>
              <w:spacing w:after="0" w:line="250"/>
            </w:pPr>
            <w:r>
              <w:rPr>
                <w:b w:val="false"/>
                <w:bCs w:val="false"/>
                <w:sz w:val="18"/>
                <w:szCs w:val="18"/>
              </w:rPr>
              <w:t xml:space="preserve">Compliant codebase</w:t>
            </w:r>
          </w:p>
        </w:tc>
        <w:tc>
          <w:tcPr>
            <w:tcW w:type="dxa" w:w="2400"/>
            <w:tcMar>
              <w:top w:type="dxa" w:w="70"/>
              <w:left w:type="dxa" w:w="110"/>
              <w:bottom w:type="dxa" w:w="70"/>
              <w:right w:type="dxa" w:w="110"/>
            </w:tcMar>
          </w:tcPr>
          <w:p>
            <w:pPr>
              <w:spacing w:after="0" w:line="250"/>
            </w:pPr>
            <w:r>
              <w:rPr>
                <w:b w:val="false"/>
                <w:bCs w:val="false"/>
                <w:sz w:val="18"/>
                <w:szCs w:val="18"/>
              </w:rPr>
              <w:t xml:space="preserve">passes</w:t>
            </w:r>
          </w:p>
        </w:tc>
        <w:tc>
          <w:tcPr>
            <w:tcW w:type="dxa" w:w="2400"/>
            <w:tcMar>
              <w:top w:type="dxa" w:w="70"/>
              <w:left w:type="dxa" w:w="110"/>
              <w:bottom w:type="dxa" w:w="70"/>
              <w:right w:type="dxa" w:w="110"/>
            </w:tcMar>
          </w:tcPr>
          <w:p>
            <w:pPr>
              <w:spacing w:after="0" w:line="250"/>
            </w:pPr>
            <w:r>
              <w:rPr>
                <w:b w:val="false"/>
                <w:bCs w:val="false"/>
                <w:sz w:val="18"/>
                <w:szCs w:val="18"/>
              </w:rPr>
              <w:t xml:space="preserve">passes</w:t>
            </w:r>
          </w:p>
        </w:tc>
      </w:tr>
      <w:tr>
        <w:tc>
          <w:tcPr>
            <w:tcW w:type="dxa" w:w="4226"/>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database/sql</w:t>
            </w:r>
            <w:r>
              <w:rPr>
                <w:b w:val="false"/>
                <w:bCs w:val="false"/>
                <w:sz w:val="18"/>
                <w:szCs w:val="18"/>
              </w:rPr>
              <w:t xml:space="preserve"> added to internal/storage</w:t>
            </w:r>
          </w:p>
        </w:tc>
        <w:tc>
          <w:tcPr>
            <w:tcW w:type="dxa" w:w="2400"/>
            <w:tcMar>
              <w:top w:type="dxa" w:w="70"/>
              <w:left w:type="dxa" w:w="110"/>
              <w:bottom w:type="dxa" w:w="70"/>
              <w:right w:type="dxa" w:w="110"/>
            </w:tcMar>
          </w:tcPr>
          <w:p>
            <w:pPr>
              <w:spacing w:after="0" w:line="250"/>
            </w:pPr>
            <w:r>
              <w:rPr>
                <w:b/>
                <w:bCs/>
                <w:sz w:val="18"/>
                <w:szCs w:val="18"/>
              </w:rPr>
              <w:t xml:space="preserve">fails</w:t>
            </w:r>
          </w:p>
        </w:tc>
        <w:tc>
          <w:tcPr>
            <w:tcW w:type="dxa" w:w="2400"/>
            <w:tcMar>
              <w:top w:type="dxa" w:w="70"/>
              <w:left w:type="dxa" w:w="110"/>
              <w:bottom w:type="dxa" w:w="70"/>
              <w:right w:type="dxa" w:w="110"/>
            </w:tcMar>
          </w:tcPr>
          <w:p>
            <w:pPr>
              <w:spacing w:after="0" w:line="250"/>
            </w:pPr>
            <w:r>
              <w:rPr>
                <w:b/>
                <w:bCs/>
                <w:sz w:val="18"/>
                <w:szCs w:val="18"/>
              </w:rPr>
              <w:t xml:space="preserve">fails</w:t>
            </w:r>
          </w:p>
        </w:tc>
      </w:tr>
      <w:tr>
        <w:tc>
          <w:tcPr>
            <w:tcW w:type="dxa" w:w="4226"/>
            <w:tcMar>
              <w:top w:type="dxa" w:w="70"/>
              <w:left w:type="dxa" w:w="110"/>
              <w:bottom w:type="dxa" w:w="70"/>
              <w:right w:type="dxa" w:w="110"/>
            </w:tcMar>
          </w:tcPr>
          <w:p>
            <w:pPr>
              <w:spacing w:after="0" w:line="250"/>
            </w:pPr>
            <w:r>
              <w:rPr>
                <w:rFonts w:ascii="Consolas" w:cs="Consolas" w:eastAsia="Consolas" w:hAnsi="Consolas"/>
                <w:b w:val="false"/>
                <w:bCs w:val="false"/>
                <w:sz w:val="18"/>
                <w:szCs w:val="18"/>
              </w:rPr>
              <w:t xml:space="preserve">database/sql</w:t>
            </w:r>
            <w:r>
              <w:rPr>
                <w:b w:val="false"/>
                <w:bCs w:val="false"/>
                <w:sz w:val="18"/>
                <w:szCs w:val="18"/>
              </w:rPr>
              <w:t xml:space="preserve"> added </w:t>
            </w:r>
            <w:r>
              <w:rPr>
                <w:b w:val="false"/>
                <w:bCs w:val="false"/>
                <w:sz w:val="18"/>
                <w:szCs w:val="18"/>
              </w:rPr>
              <w:t xml:space="preserve">and</w:t>
            </w:r>
            <w:r>
              <w:rPr>
                <w:b w:val="false"/>
                <w:bCs w:val="false"/>
                <w:sz w:val="18"/>
                <w:szCs w:val="18"/>
              </w:rPr>
              <w:t xml:space="preserve"> .golangci.yml widened to suit</w:t>
            </w:r>
          </w:p>
        </w:tc>
        <w:tc>
          <w:tcPr>
            <w:tcW w:type="dxa" w:w="2400"/>
            <w:tcMar>
              <w:top w:type="dxa" w:w="70"/>
              <w:left w:type="dxa" w:w="110"/>
              <w:bottom w:type="dxa" w:w="70"/>
              <w:right w:type="dxa" w:w="110"/>
            </w:tcMar>
          </w:tcPr>
          <w:p>
            <w:pPr>
              <w:spacing w:after="0" w:line="250"/>
            </w:pPr>
            <w:r>
              <w:rPr>
                <w:b/>
                <w:bCs/>
                <w:sz w:val="18"/>
                <w:szCs w:val="18"/>
              </w:rPr>
              <w:t xml:space="preserve">PASSES — blind</w:t>
            </w:r>
          </w:p>
        </w:tc>
        <w:tc>
          <w:tcPr>
            <w:tcW w:type="dxa" w:w="2400"/>
            <w:tcMar>
              <w:top w:type="dxa" w:w="70"/>
              <w:left w:type="dxa" w:w="110"/>
              <w:bottom w:type="dxa" w:w="70"/>
              <w:right w:type="dxa" w:w="110"/>
            </w:tcMar>
          </w:tcPr>
          <w:p>
            <w:pPr>
              <w:spacing w:after="0" w:line="250"/>
            </w:pPr>
            <w:r>
              <w:rPr>
                <w:b/>
                <w:bCs/>
                <w:sz w:val="18"/>
                <w:szCs w:val="18"/>
              </w:rPr>
              <w:t xml:space="preserve">fails</w:t>
            </w:r>
          </w:p>
        </w:tc>
      </w:tr>
    </w:tbl>
    <w:p>
      <w:pPr>
        <w:spacing w:after="140" w:line="276"/>
      </w:pPr>
      <w:r>
        <w:rPr>
          <w:sz w:val="21"/>
          <w:szCs w:val="21"/>
        </w:rPr>
        <w:t xml:space="preserve">The third row is the case the check exists for, and the one no configuration-driven rule can cover.</w:t>
      </w:r>
    </w:p>
    <w:p>
      <w:pPr>
        <w:spacing w:after="90" w:line="276"/>
      </w:pPr>
      <w:r>
        <w:rPr>
          <w:sz w:val="21"/>
          <w:szCs w:val="21"/>
        </w:rPr>
        <w:t xml:space="preserve">Failure output:</w:t>
      </w:r>
    </w:p>
    <w:p>
      <w:pPr>
        <w:shd w:fill="F4F5F7" w:val="clear"/>
        <w:spacing w:after="0" w:line="240"/>
        <w:ind w:left="220" w:right="220"/>
      </w:pPr>
      <w:r>
        <w:rPr>
          <w:rFonts w:ascii="Consolas" w:cs="Consolas" w:eastAsia="Consolas" w:hAnsi="Consolas"/>
          <w:sz w:val="17"/>
          <w:szCs w:val="17"/>
        </w:rPr>
        <w:t xml:space="preserve">--- FAIL: TestPersistenceImportsAreExhaustivelyAllowlisted (0.00s)</w:t>
      </w:r>
    </w:p>
    <w:p>
      <w:pPr>
        <w:shd w:fill="F4F5F7" w:val="clear"/>
        <w:spacing w:after="0" w:line="240"/>
        <w:ind w:left="220" w:right="220"/>
      </w:pPr>
      <w:r>
        <w:rPr>
          <w:rFonts w:ascii="Consolas" w:cs="Consolas" w:eastAsia="Consolas" w:hAnsi="Consolas"/>
          <w:sz w:val="17"/>
          <w:szCs w:val="17"/>
        </w:rPr>
        <w:t xml:space="preserve">    arch_test.go:74: internal/storage imports "database/sql", which ADR 0001's</w:t>
      </w:r>
    </w:p>
    <w:p>
      <w:pPr>
        <w:shd w:fill="F4F5F7" w:val="clear"/>
        <w:spacing w:after="0" w:line="240"/>
        <w:ind w:left="220" w:right="220"/>
      </w:pPr>
      <w:r>
        <w:rPr>
          <w:rFonts w:ascii="Consolas" w:cs="Consolas" w:eastAsia="Consolas" w:hAnsi="Consolas"/>
          <w:sz w:val="17"/>
          <w:szCs w:val="17"/>
        </w:rPr>
        <w:t xml:space="preserve">    allowlist does not open.</w:t>
      </w:r>
    </w:p>
    <w:p>
      <w:pPr>
        <w:shd w:fill="F4F5F7" w:val="clear"/>
        <w:spacing w:after="0" w:line="240"/>
        <w:ind w:left="220" w:right="220"/>
      </w:pPr>
      <w:r>
        <w:rPr>
          <w:rFonts w:ascii="Consolas" w:cs="Consolas" w:eastAsia="Consolas" w:hAnsi="Consolas"/>
          <w:sz w:val="17"/>
          <w:szCs w:val="17"/>
        </w:rPr>
        <w:t xml:space="preserve">    ADR 0001 persists task state to a single local JSON file using only the</w:t>
      </w:r>
    </w:p>
    <w:p>
      <w:pPr>
        <w:shd w:fill="F4F5F7" w:val="clear"/>
        <w:spacing w:after="0" w:line="240"/>
        <w:ind w:left="220" w:right="220"/>
      </w:pPr>
      <w:r>
        <w:rPr>
          <w:rFonts w:ascii="Consolas" w:cs="Consolas" w:eastAsia="Consolas" w:hAnsi="Consolas"/>
          <w:sz w:val="17"/>
          <w:szCs w:val="17"/>
        </w:rPr>
        <w:t xml:space="preserve">    standard library, and excludes every database engine, driver, ORM,</w:t>
      </w:r>
    </w:p>
    <w:p>
      <w:pPr>
        <w:shd w:fill="F4F5F7" w:val="clear"/>
        <w:spacing w:after="0" w:line="240"/>
        <w:ind w:left="220" w:right="220"/>
      </w:pPr>
      <w:r>
        <w:rPr>
          <w:rFonts w:ascii="Consolas" w:cs="Consolas" w:eastAsia="Consolas" w:hAnsi="Consolas"/>
          <w:sz w:val="17"/>
          <w:szCs w:val="17"/>
        </w:rPr>
        <w:t xml:space="preserve">    key-value store, and remote storage service from the approved</w:t>
      </w:r>
    </w:p>
    <w:p>
      <w:pPr>
        <w:shd w:fill="F4F5F7" w:val="clear"/>
        <w:spacing w:after="0" w:line="240"/>
        <w:ind w:left="220" w:right="220"/>
      </w:pPr>
      <w:r>
        <w:rPr>
          <w:rFonts w:ascii="Consolas" w:cs="Consolas" w:eastAsia="Consolas" w:hAnsi="Consolas"/>
          <w:sz w:val="17"/>
          <w:szCs w:val="17"/>
        </w:rPr>
        <w:t xml:space="preserve">    persistence architecture.</w:t>
      </w:r>
    </w:p>
    <w:p>
      <w:pPr>
        <w:shd w:fill="F4F5F7" w:val="clear"/>
        <w:spacing w:after="0" w:line="240"/>
        <w:ind w:left="220" w:right="220"/>
      </w:pPr>
      <w:r>
        <w:rPr>
          <w:rFonts w:ascii="Consolas" w:cs="Consolas" w:eastAsia="Consolas" w:hAnsi="Consolas"/>
          <w:sz w:val="17"/>
          <w:szCs w:val="17"/>
        </w:rPr>
        <w:t xml:space="preserve">    Changing the persistence strategy requires a superseding ADR under adr/</w:t>
      </w:r>
    </w:p>
    <w:p>
      <w:pPr>
        <w:shd w:fill="F4F5F7" w:val="clear"/>
        <w:spacing w:after="0" w:line="240"/>
        <w:ind w:left="220" w:right="220"/>
      </w:pPr>
      <w:r>
        <w:rPr>
          <w:rFonts w:ascii="Consolas" w:cs="Consolas" w:eastAsia="Consolas" w:hAnsi="Consolas"/>
          <w:sz w:val="17"/>
          <w:szCs w:val="17"/>
        </w:rPr>
        <w:t xml:space="preserve">    first. If this import is part of one, add it to persistenceAllowlist in</w:t>
      </w:r>
    </w:p>
    <w:p>
      <w:pPr>
        <w:shd w:fill="F4F5F7" w:val="clear"/>
        <w:spacing w:after="160" w:line="240"/>
        <w:ind w:left="220" w:right="220"/>
      </w:pPr>
      <w:r>
        <w:rPr>
          <w:rFonts w:ascii="Consolas" w:cs="Consolas" w:eastAsia="Consolas" w:hAnsi="Consolas"/>
          <w:sz w:val="17"/>
          <w:szCs w:val="17"/>
        </w:rPr>
        <w:t xml:space="preserve">    this file with that citation.</w:t>
      </w:r>
    </w:p>
    <w:p>
      <w:pPr>
        <w:pStyle w:val="Heading2"/>
        <w:spacing w:after="130" w:before="260"/>
      </w:pPr>
      <w:r>
        <w:rPr>
          <w:b/>
          <w:bCs/>
          <w:color w:val="1F3864"/>
          <w:sz w:val="23"/>
          <w:szCs w:val="23"/>
        </w:rPr>
        <w:t xml:space="preserve">4.3 The core of the check</w:t>
      </w:r>
    </w:p>
    <w:p>
      <w:pPr>
        <w:shd w:fill="F4F5F7" w:val="clear"/>
        <w:spacing w:after="0" w:line="240"/>
        <w:ind w:left="220" w:right="220"/>
      </w:pPr>
      <w:r>
        <w:rPr>
          <w:rFonts w:ascii="Consolas" w:cs="Consolas" w:eastAsia="Consolas" w:hAnsi="Consolas"/>
          <w:sz w:val="17"/>
          <w:szCs w:val="17"/>
        </w:rPr>
        <w:t xml:space="preserve">// persistenceAllowlist is the complete set of imports permitted inside</w:t>
      </w:r>
    </w:p>
    <w:p>
      <w:pPr>
        <w:shd w:fill="F4F5F7" w:val="clear"/>
        <w:spacing w:after="0" w:line="240"/>
        <w:ind w:left="220" w:right="220"/>
      </w:pPr>
      <w:r>
        <w:rPr>
          <w:rFonts w:ascii="Consolas" w:cs="Consolas" w:eastAsia="Consolas" w:hAnsi="Consolas"/>
          <w:sz w:val="17"/>
          <w:szCs w:val="17"/>
        </w:rPr>
        <w:t xml:space="preserve">// internal/storage - standard library included, not just third-party.</w:t>
      </w:r>
    </w:p>
    <w:p>
      <w:pPr>
        <w:shd w:fill="F4F5F7" w:val="clear"/>
        <w:spacing w:after="0" w:line="240"/>
        <w:ind w:left="220" w:right="220"/>
      </w:pPr>
      <w:r>
        <w:rPr>
          <w:rFonts w:ascii="Consolas" w:cs="Consolas" w:eastAsia="Consolas" w:hAnsi="Consolas"/>
          <w:sz w:val="17"/>
          <w:szCs w:val="17"/>
        </w:rPr>
        <w:t xml:space="preserve">var persistenceAllowlist = map[string]string{</w:t>
      </w:r>
    </w:p>
    <w:p>
      <w:pPr>
        <w:shd w:fill="F4F5F7" w:val="clear"/>
        <w:spacing w:after="0" w:line="240"/>
        <w:ind w:left="220" w:right="220"/>
      </w:pPr>
      <w:r>
        <w:rPr>
          <w:rFonts w:ascii="Consolas" w:cs="Consolas" w:eastAsia="Consolas" w:hAnsi="Consolas"/>
          <w:sz w:val="17"/>
          <w:szCs w:val="17"/>
        </w:rPr>
        <w:t xml:space="preserve">    "encoding/json": "ADR 0001 Decision: use the standard encoding/json</w:t>
      </w:r>
    </w:p>
    <w:p>
      <w:pPr>
        <w:shd w:fill="F4F5F7" w:val="clear"/>
        <w:spacing w:after="0" w:line="240"/>
        <w:ind w:left="220" w:right="220"/>
      </w:pPr>
      <w:r>
        <w:rPr>
          <w:rFonts w:ascii="Consolas" w:cs="Consolas" w:eastAsia="Consolas" w:hAnsi="Consolas"/>
          <w:sz w:val="17"/>
          <w:szCs w:val="17"/>
        </w:rPr>
        <w:t xml:space="preserve">                      package for serialization.",</w:t>
      </w:r>
    </w:p>
    <w:p>
      <w:pPr>
        <w:shd w:fill="F4F5F7" w:val="clear"/>
        <w:spacing w:after="0" w:line="240"/>
        <w:ind w:left="220" w:right="220"/>
      </w:pPr>
      <w:r>
        <w:rPr>
          <w:rFonts w:ascii="Consolas" w:cs="Consolas" w:eastAsia="Consolas" w:hAnsi="Consolas"/>
          <w:sz w:val="17"/>
          <w:szCs w:val="17"/>
        </w:rPr>
        <w:t xml:space="preserve">    "os":            "ADR 0001 Decision: use the standard os package for</w:t>
      </w:r>
    </w:p>
    <w:p>
      <w:pPr>
        <w:shd w:fill="F4F5F7" w:val="clear"/>
        <w:spacing w:after="0" w:line="240"/>
        <w:ind w:left="220" w:right="220"/>
      </w:pPr>
      <w:r>
        <w:rPr>
          <w:rFonts w:ascii="Consolas" w:cs="Consolas" w:eastAsia="Consolas" w:hAnsi="Consolas"/>
          <w:sz w:val="17"/>
          <w:szCs w:val="17"/>
        </w:rPr>
        <w:t xml:space="preserve">                      file management, incl. os.CreateTemp and os.Rename.",</w:t>
      </w:r>
    </w:p>
    <w:p>
      <w:pPr>
        <w:shd w:fill="F4F5F7" w:val="clear"/>
        <w:spacing w:after="0" w:line="240"/>
        <w:ind w:left="220" w:right="220"/>
      </w:pPr>
      <w:r>
        <w:rPr>
          <w:rFonts w:ascii="Consolas" w:cs="Consolas" w:eastAsia="Consolas" w:hAnsi="Consolas"/>
          <w:sz w:val="17"/>
          <w:szCs w:val="17"/>
        </w:rPr>
        <w:t xml:space="preserve">    "path/filepath": "Joining the destination path for the atomic write.",</w:t>
      </w:r>
    </w:p>
    <w:p>
      <w:pPr>
        <w:shd w:fill="F4F5F7" w:val="clear"/>
        <w:spacing w:after="0" w:line="240"/>
        <w:ind w:left="220" w:right="220"/>
      </w:pPr>
      <w:r>
        <w:rPr>
          <w:rFonts w:ascii="Consolas" w:cs="Consolas" w:eastAsia="Consolas" w:hAnsi="Consolas"/>
          <w:sz w:val="17"/>
          <w:szCs w:val="17"/>
        </w:rPr>
        <w:t xml:space="preserve">    "errors":        "Distinguishing an absent file from an unreadable one.",</w:t>
      </w:r>
    </w:p>
    <w:p>
      <w:pPr>
        <w:shd w:fill="F4F5F7" w:val="clear"/>
        <w:spacing w:after="0" w:line="240"/>
        <w:ind w:left="220" w:right="220"/>
      </w:pPr>
      <w:r>
        <w:rPr>
          <w:rFonts w:ascii="Consolas" w:cs="Consolas" w:eastAsia="Consolas" w:hAnsi="Consolas"/>
          <w:sz w:val="17"/>
          <w:szCs w:val="17"/>
        </w:rPr>
        <w:t xml:space="preserve">    "fmt":           "Wrapping errors with context (Principle IV).",</w:t>
      </w:r>
    </w:p>
    <w:p>
      <w:pPr>
        <w:shd w:fill="F4F5F7" w:val="clear"/>
        <w:spacing w:after="0" w:line="240"/>
        <w:ind w:left="220" w:right="220"/>
      </w:pPr>
      <w:r>
        <w:rPr>
          <w:rFonts w:ascii="Consolas" w:cs="Consolas" w:eastAsia="Consolas" w:hAnsi="Consolas"/>
          <w:sz w:val="17"/>
          <w:szCs w:val="17"/>
        </w:rPr>
        <w:t xml:space="preserve">    "pomotask/internal/task":</w:t>
      </w:r>
    </w:p>
    <w:p>
      <w:pPr>
        <w:shd w:fill="F4F5F7" w:val="clear"/>
        <w:spacing w:after="0" w:line="240"/>
        <w:ind w:left="220" w:right="220"/>
      </w:pPr>
      <w:r>
        <w:rPr>
          <w:rFonts w:ascii="Consolas" w:cs="Consolas" w:eastAsia="Consolas" w:hAnsi="Consolas"/>
          <w:sz w:val="17"/>
          <w:szCs w:val="17"/>
        </w:rPr>
        <w:t xml:space="preserve">                     "ADR 0001 requires the persistence package own the</w:t>
      </w:r>
    </w:p>
    <w:p>
      <w:pPr>
        <w:shd w:fill="F4F5F7" w:val="clear"/>
        <w:spacing w:after="0" w:line="240"/>
        <w:ind w:left="220" w:right="220"/>
      </w:pPr>
      <w:r>
        <w:rPr>
          <w:rFonts w:ascii="Consolas" w:cs="Consolas" w:eastAsia="Consolas" w:hAnsi="Consolas"/>
          <w:sz w:val="17"/>
          <w:szCs w:val="17"/>
        </w:rPr>
        <w:t xml:space="preserve">                      conversion to and from the domain type. Recorded as</w:t>
      </w:r>
    </w:p>
    <w:p>
      <w:pPr>
        <w:shd w:fill="F4F5F7" w:val="clear"/>
        <w:spacing w:after="0" w:line="240"/>
        <w:ind w:left="220" w:right="220"/>
      </w:pPr>
      <w:r>
        <w:rPr>
          <w:rFonts w:ascii="Consolas" w:cs="Consolas" w:eastAsia="Consolas" w:hAnsi="Consolas"/>
          <w:sz w:val="17"/>
          <w:szCs w:val="17"/>
        </w:rPr>
        <w:t xml:space="preserve">                      G6 in the plan.md Gap register.",</w:t>
      </w:r>
    </w:p>
    <w:p>
      <w:pPr>
        <w:shd w:fill="F4F5F7" w:val="clear"/>
        <w:spacing w:after="0" w:line="240"/>
        <w:ind w:left="220" w:right="220"/>
      </w:pPr>
      <w:r>
        <w:rPr>
          <w:rFonts w:ascii="Consolas" w:cs="Consolas" w:eastAsia="Consolas" w:hAnsi="Consolas"/>
          <w:sz w:val="17"/>
          <w:szCs w:val="17"/>
        </w:rPr>
        <w:t xml:space="preserve">}</w:t>
      </w:r>
    </w:p>
    <w:p>
      <w:pPr>
        <w:shd w:fill="F4F5F7" w:val="clear"/>
        <w:spacing w:after="0" w:line="240"/>
        <w:ind w:left="220" w:right="220"/>
      </w:pPr>
      <w:r>
        <w:rPr>
          <w:rFonts w:ascii="Consolas" w:cs="Consolas" w:eastAsia="Consolas" w:hAnsi="Consolas"/>
          <w:sz w:val="17"/>
          <w:szCs w:val="17"/>
        </w:rPr>
        <w:t xml:space="preserve"> </w:t>
      </w:r>
    </w:p>
    <w:p>
      <w:pPr>
        <w:shd w:fill="F4F5F7" w:val="clear"/>
        <w:spacing w:after="0" w:line="240"/>
        <w:ind w:left="220" w:right="220"/>
      </w:pPr>
      <w:r>
        <w:rPr>
          <w:rFonts w:ascii="Consolas" w:cs="Consolas" w:eastAsia="Consolas" w:hAnsi="Consolas"/>
          <w:sz w:val="17"/>
          <w:szCs w:val="17"/>
        </w:rPr>
        <w:t xml:space="preserve">func TestPersistenceImportsAreExhaustivelyAllowlisted(t *testing.T) {</w:t>
      </w:r>
    </w:p>
    <w:p>
      <w:pPr>
        <w:shd w:fill="F4F5F7" w:val="clear"/>
        <w:spacing w:after="0" w:line="240"/>
        <w:ind w:left="220" w:right="220"/>
      </w:pPr>
      <w:r>
        <w:rPr>
          <w:rFonts w:ascii="Consolas" w:cs="Consolas" w:eastAsia="Consolas" w:hAnsi="Consolas"/>
          <w:sz w:val="17"/>
          <w:szCs w:val="17"/>
        </w:rPr>
        <w:t xml:space="preserve">    dir := filepath.Join(moduleRoot(t), "internal/storage")</w:t>
      </w:r>
    </w:p>
    <w:p>
      <w:pPr>
        <w:shd w:fill="F4F5F7" w:val="clear"/>
        <w:spacing w:after="0" w:line="240"/>
        <w:ind w:left="220" w:right="220"/>
      </w:pPr>
      <w:r>
        <w:rPr>
          <w:rFonts w:ascii="Consolas" w:cs="Consolas" w:eastAsia="Consolas" w:hAnsi="Consolas"/>
          <w:sz w:val="17"/>
          <w:szCs w:val="17"/>
        </w:rPr>
        <w:t xml:space="preserve">    pkg, err := build.ImportDir(dir, 0)   // production files only</w:t>
      </w:r>
    </w:p>
    <w:p>
      <w:pPr>
        <w:shd w:fill="F4F5F7" w:val="clear"/>
        <w:spacing w:after="0" w:line="240"/>
        <w:ind w:left="220" w:right="220"/>
      </w:pPr>
      <w:r>
        <w:rPr>
          <w:rFonts w:ascii="Consolas" w:cs="Consolas" w:eastAsia="Consolas" w:hAnsi="Consolas"/>
          <w:sz w:val="17"/>
          <w:szCs w:val="17"/>
        </w:rPr>
        <w:t xml:space="preserve">    if err != nil { t.Fatalf("reading %s: %v", dir, err) }</w:t>
      </w:r>
    </w:p>
    <w:p>
      <w:pPr>
        <w:shd w:fill="F4F5F7" w:val="clear"/>
        <w:spacing w:after="0" w:line="240"/>
        <w:ind w:left="220" w:right="220"/>
      </w:pPr>
      <w:r>
        <w:rPr>
          <w:rFonts w:ascii="Consolas" w:cs="Consolas" w:eastAsia="Consolas" w:hAnsi="Consolas"/>
          <w:sz w:val="17"/>
          <w:szCs w:val="17"/>
        </w:rPr>
        <w:t xml:space="preserve"> </w:t>
      </w:r>
    </w:p>
    <w:p>
      <w:pPr>
        <w:shd w:fill="F4F5F7" w:val="clear"/>
        <w:spacing w:after="0" w:line="240"/>
        <w:ind w:left="220" w:right="220"/>
      </w:pPr>
      <w:r>
        <w:rPr>
          <w:rFonts w:ascii="Consolas" w:cs="Consolas" w:eastAsia="Consolas" w:hAnsi="Consolas"/>
          <w:sz w:val="17"/>
          <w:szCs w:val="17"/>
        </w:rPr>
        <w:t xml:space="preserve">    for _, imported := range pkg.Imports {</w:t>
      </w:r>
    </w:p>
    <w:p>
      <w:pPr>
        <w:shd w:fill="F4F5F7" w:val="clear"/>
        <w:spacing w:after="0" w:line="240"/>
        <w:ind w:left="220" w:right="220"/>
      </w:pPr>
      <w:r>
        <w:rPr>
          <w:rFonts w:ascii="Consolas" w:cs="Consolas" w:eastAsia="Consolas" w:hAnsi="Consolas"/>
          <w:sz w:val="17"/>
          <w:szCs w:val="17"/>
        </w:rPr>
        <w:t xml:space="preserve">        if _, ok := persistenceAllowlist[imported]; ok { continue }</w:t>
      </w:r>
    </w:p>
    <w:p>
      <w:pPr>
        <w:shd w:fill="F4F5F7" w:val="clear"/>
        <w:spacing w:after="0" w:line="240"/>
        <w:ind w:left="220" w:right="220"/>
      </w:pPr>
      <w:r>
        <w:rPr>
          <w:rFonts w:ascii="Consolas" w:cs="Consolas" w:eastAsia="Consolas" w:hAnsi="Consolas"/>
          <w:sz w:val="17"/>
          <w:szCs w:val="17"/>
        </w:rPr>
        <w:t xml:space="preserve">        t.Errorf("internal/storage imports %q, which ADR 0001's allowlist "+</w:t>
      </w:r>
    </w:p>
    <w:p>
      <w:pPr>
        <w:shd w:fill="F4F5F7" w:val="clear"/>
        <w:spacing w:after="0" w:line="240"/>
        <w:ind w:left="220" w:right="220"/>
      </w:pPr>
      <w:r>
        <w:rPr>
          <w:rFonts w:ascii="Consolas" w:cs="Consolas" w:eastAsia="Consolas" w:hAnsi="Consolas"/>
          <w:sz w:val="17"/>
          <w:szCs w:val="17"/>
        </w:rPr>
        <w:t xml:space="preserve">            "does not open. Changing the persistence strategy requires a "+</w:t>
      </w:r>
    </w:p>
    <w:p>
      <w:pPr>
        <w:shd w:fill="F4F5F7" w:val="clear"/>
        <w:spacing w:after="0" w:line="240"/>
        <w:ind w:left="220" w:right="220"/>
      </w:pPr>
      <w:r>
        <w:rPr>
          <w:rFonts w:ascii="Consolas" w:cs="Consolas" w:eastAsia="Consolas" w:hAnsi="Consolas"/>
          <w:sz w:val="17"/>
          <w:szCs w:val="17"/>
        </w:rPr>
        <w:t xml:space="preserve">            "superseding ADR under adr/ first.", imported)</w:t>
      </w:r>
    </w:p>
    <w:p>
      <w:pPr>
        <w:shd w:fill="F4F5F7" w:val="clear"/>
        <w:spacing w:after="0" w:line="240"/>
        <w:ind w:left="220" w:right="220"/>
      </w:pPr>
      <w:r>
        <w:rPr>
          <w:rFonts w:ascii="Consolas" w:cs="Consolas" w:eastAsia="Consolas" w:hAnsi="Consolas"/>
          <w:sz w:val="17"/>
          <w:szCs w:val="17"/>
        </w:rPr>
        <w:t xml:space="preserve">    }</w:t>
      </w:r>
    </w:p>
    <w:p>
      <w:pPr>
        <w:shd w:fill="F4F5F7" w:val="clear"/>
        <w:spacing w:after="160" w:line="240"/>
        <w:ind w:left="220" w:right="220"/>
      </w:pPr>
      <w:r>
        <w:rPr>
          <w:rFonts w:ascii="Consolas" w:cs="Consolas" w:eastAsia="Consolas" w:hAnsi="Consolas"/>
          <w:sz w:val="17"/>
          <w:szCs w:val="17"/>
        </w:rPr>
        <w:t xml:space="preserve">}</w:t>
      </w:r>
    </w:p>
    <w:p>
      <w:pPr>
        <w:pStyle w:val="Heading2"/>
        <w:spacing w:after="130" w:before="260"/>
      </w:pPr>
      <w:r>
        <w:rPr>
          <w:b/>
          <w:bCs/>
          <w:color w:val="1F3864"/>
          <w:sz w:val="23"/>
          <w:szCs w:val="23"/>
        </w:rPr>
        <w:t xml:space="preserve">4.4 Cost, and what it does not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7ECF5" w:val="clear"/>
            <w:tcMar>
              <w:top w:type="dxa" w:w="70"/>
              <w:left w:type="dxa" w:w="110"/>
              <w:bottom w:type="dxa" w:w="70"/>
              <w:right w:type="dxa" w:w="110"/>
            </w:tcMar>
          </w:tcPr>
          <w:p>
            <w:pPr>
              <w:spacing w:after="0" w:line="250"/>
            </w:pPr>
            <w:r>
              <w:rPr>
                <w:b/>
                <w:bCs/>
                <w:sz w:val="18"/>
                <w:szCs w:val="18"/>
              </w:rPr>
              <w:t xml:space="preserve">Dimension</w:t>
            </w:r>
          </w:p>
        </w:tc>
        <w:tc>
          <w:tcPr>
            <w:tcW w:type="dxa" w:w="6426"/>
            <w:shd w:fill="E7ECF5" w:val="clear"/>
            <w:tcMar>
              <w:top w:type="dxa" w:w="70"/>
              <w:left w:type="dxa" w:w="110"/>
              <w:bottom w:type="dxa" w:w="70"/>
              <w:right w:type="dxa" w:w="110"/>
            </w:tcMar>
          </w:tcPr>
          <w:p>
            <w:pPr>
              <w:spacing w:after="0" w:line="250"/>
            </w:pPr>
            <w:r>
              <w:rPr>
                <w:b/>
                <w:bCs/>
                <w:sz w:val="18"/>
                <w:szCs w:val="18"/>
              </w:rPr>
              <w:t xml:space="preserve">Assessment</w:t>
            </w:r>
          </w:p>
        </w:tc>
      </w:tr>
      <w:tr>
        <w:tc>
          <w:tcPr>
            <w:tcW w:type="dxa" w:w="2600"/>
            <w:tcMar>
              <w:top w:type="dxa" w:w="70"/>
              <w:left w:type="dxa" w:w="110"/>
              <w:bottom w:type="dxa" w:w="70"/>
              <w:right w:type="dxa" w:w="110"/>
            </w:tcMar>
          </w:tcPr>
          <w:p>
            <w:pPr>
              <w:spacing w:after="0" w:line="250"/>
            </w:pPr>
            <w:r>
              <w:rPr>
                <w:b w:val="false"/>
                <w:bCs w:val="false"/>
                <w:sz w:val="18"/>
                <w:szCs w:val="18"/>
              </w:rPr>
              <w:t xml:space="preserve">Dependencies</w:t>
            </w:r>
          </w:p>
        </w:tc>
        <w:tc>
          <w:tcPr>
            <w:tcW w:type="dxa" w:w="6426"/>
            <w:tcMar>
              <w:top w:type="dxa" w:w="70"/>
              <w:left w:type="dxa" w:w="110"/>
              <w:bottom w:type="dxa" w:w="70"/>
              <w:right w:type="dxa" w:w="110"/>
            </w:tcMar>
          </w:tcPr>
          <w:p>
            <w:pPr>
              <w:spacing w:after="0" w:line="250"/>
            </w:pPr>
            <w:r>
              <w:rPr>
                <w:b/>
                <w:bCs/>
                <w:sz w:val="18"/>
                <w:szCs w:val="18"/>
              </w:rPr>
              <w:t xml:space="preserve">None. </w:t>
            </w:r>
            <w:r>
              <w:rPr>
                <w:rFonts w:ascii="Consolas" w:cs="Consolas" w:eastAsia="Consolas" w:hAnsi="Consolas"/>
                <w:b w:val="false"/>
                <w:bCs w:val="false"/>
                <w:sz w:val="18"/>
                <w:szCs w:val="18"/>
              </w:rPr>
              <w:t xml:space="preserve">go/build</w:t>
            </w:r>
            <w:r>
              <w:rPr>
                <w:b w:val="false"/>
                <w:bCs w:val="false"/>
                <w:sz w:val="18"/>
                <w:szCs w:val="18"/>
              </w:rPr>
              <w:t xml:space="preserve"> and the standard library only, so Constitution Principle IV is untouched.</w:t>
            </w:r>
          </w:p>
        </w:tc>
      </w:tr>
      <w:tr>
        <w:tc>
          <w:tcPr>
            <w:tcW w:type="dxa" w:w="2600"/>
            <w:tcMar>
              <w:top w:type="dxa" w:w="70"/>
              <w:left w:type="dxa" w:w="110"/>
              <w:bottom w:type="dxa" w:w="70"/>
              <w:right w:type="dxa" w:w="110"/>
            </w:tcMar>
          </w:tcPr>
          <w:p>
            <w:pPr>
              <w:spacing w:after="0" w:line="250"/>
            </w:pPr>
            <w:r>
              <w:rPr>
                <w:b w:val="false"/>
                <w:bCs w:val="false"/>
                <w:sz w:val="18"/>
                <w:szCs w:val="18"/>
              </w:rPr>
              <w:t xml:space="preserve">Integration</w:t>
            </w:r>
          </w:p>
        </w:tc>
        <w:tc>
          <w:tcPr>
            <w:tcW w:type="dxa" w:w="6426"/>
            <w:tcMar>
              <w:top w:type="dxa" w:w="70"/>
              <w:left w:type="dxa" w:w="110"/>
              <w:bottom w:type="dxa" w:w="70"/>
              <w:right w:type="dxa" w:w="110"/>
            </w:tcMar>
          </w:tcPr>
          <w:p>
            <w:pPr>
              <w:spacing w:after="0" w:line="250"/>
            </w:pPr>
            <w:r>
              <w:rPr>
                <w:b w:val="false"/>
                <w:bCs w:val="false"/>
                <w:sz w:val="18"/>
                <w:szCs w:val="18"/>
              </w:rPr>
              <w:t xml:space="preserve">None. It runs inside </w:t>
            </w:r>
            <w:r>
              <w:rPr>
                <w:rFonts w:ascii="Consolas" w:cs="Consolas" w:eastAsia="Consolas" w:hAnsi="Consolas"/>
                <w:b w:val="false"/>
                <w:bCs w:val="false"/>
                <w:sz w:val="18"/>
                <w:szCs w:val="18"/>
              </w:rPr>
              <w:t xml:space="preserve">go test ./...</w:t>
            </w:r>
            <w:r>
              <w:rPr>
                <w:b w:val="false"/>
                <w:bCs w:val="false"/>
                <w:sz w:val="18"/>
                <w:szCs w:val="18"/>
              </w:rPr>
              <w:t xml:space="preserve">, already in both the local gate and CI, and fails the build the same way any test does.</w:t>
            </w:r>
          </w:p>
        </w:tc>
      </w:tr>
      <w:tr>
        <w:tc>
          <w:tcPr>
            <w:tcW w:type="dxa" w:w="2600"/>
            <w:tcMar>
              <w:top w:type="dxa" w:w="70"/>
              <w:left w:type="dxa" w:w="110"/>
              <w:bottom w:type="dxa" w:w="70"/>
              <w:right w:type="dxa" w:w="110"/>
            </w:tcMar>
          </w:tcPr>
          <w:p>
            <w:pPr>
              <w:spacing w:after="0" w:line="250"/>
            </w:pPr>
            <w:r>
              <w:rPr>
                <w:b w:val="false"/>
                <w:bCs w:val="false"/>
                <w:sz w:val="18"/>
                <w:szCs w:val="18"/>
              </w:rPr>
              <w:t xml:space="preserve">Size</w:t>
            </w:r>
          </w:p>
        </w:tc>
        <w:tc>
          <w:tcPr>
            <w:tcW w:type="dxa" w:w="6426"/>
            <w:tcMar>
              <w:top w:type="dxa" w:w="70"/>
              <w:left w:type="dxa" w:w="110"/>
              <w:bottom w:type="dxa" w:w="70"/>
              <w:right w:type="dxa" w:w="110"/>
            </w:tcMar>
          </w:tcPr>
          <w:p>
            <w:pPr>
              <w:spacing w:after="0" w:line="250"/>
            </w:pPr>
            <w:r>
              <w:rPr>
                <w:b w:val="false"/>
                <w:bCs w:val="false"/>
                <w:sz w:val="18"/>
                <w:szCs w:val="18"/>
              </w:rPr>
              <w:t xml:space="preserve">About 100 lines including the citations, which are the substance rather than overhead.</w:t>
            </w:r>
          </w:p>
        </w:tc>
      </w:tr>
      <w:tr>
        <w:tc>
          <w:tcPr>
            <w:tcW w:type="dxa" w:w="2600"/>
            <w:tcMar>
              <w:top w:type="dxa" w:w="70"/>
              <w:left w:type="dxa" w:w="110"/>
              <w:bottom w:type="dxa" w:w="70"/>
              <w:right w:type="dxa" w:w="110"/>
            </w:tcMar>
          </w:tcPr>
          <w:p>
            <w:pPr>
              <w:spacing w:after="0" w:line="250"/>
            </w:pPr>
            <w:r>
              <w:rPr>
                <w:b w:val="false"/>
                <w:bCs w:val="false"/>
                <w:sz w:val="18"/>
                <w:szCs w:val="18"/>
              </w:rPr>
              <w:t xml:space="preserve">Redundant for</w:t>
            </w:r>
          </w:p>
        </w:tc>
        <w:tc>
          <w:tcPr>
            <w:tcW w:type="dxa" w:w="6426"/>
            <w:tcMar>
              <w:top w:type="dxa" w:w="70"/>
              <w:left w:type="dxa" w:w="110"/>
              <w:bottom w:type="dxa" w:w="70"/>
              <w:right w:type="dxa" w:w="110"/>
            </w:tcMar>
          </w:tcPr>
          <w:p>
            <w:pPr>
              <w:spacing w:after="0" w:line="250"/>
            </w:pPr>
            <w:r>
              <w:rPr>
                <w:b w:val="false"/>
                <w:bCs w:val="false"/>
                <w:sz w:val="18"/>
                <w:szCs w:val="18"/>
              </w:rPr>
              <w:t xml:space="preserve">The naive violation — depguard already catches that, with a better message. All of its value is the case where the configuration is edited too.</w:t>
            </w:r>
          </w:p>
        </w:tc>
      </w:tr>
      <w:tr>
        <w:tc>
          <w:tcPr>
            <w:tcW w:type="dxa" w:w="2600"/>
            <w:tcMar>
              <w:top w:type="dxa" w:w="70"/>
              <w:left w:type="dxa" w:w="110"/>
              <w:bottom w:type="dxa" w:w="70"/>
              <w:right w:type="dxa" w:w="110"/>
            </w:tcMar>
          </w:tcPr>
          <w:p>
            <w:pPr>
              <w:spacing w:after="0" w:line="250"/>
            </w:pPr>
            <w:r>
              <w:rPr>
                <w:b w:val="false"/>
                <w:bCs w:val="false"/>
                <w:sz w:val="18"/>
                <w:szCs w:val="18"/>
              </w:rPr>
              <w:t xml:space="preserve">Still defeatable</w:t>
            </w:r>
          </w:p>
        </w:tc>
        <w:tc>
          <w:tcPr>
            <w:tcW w:type="dxa" w:w="6426"/>
            <w:tcMar>
              <w:top w:type="dxa" w:w="70"/>
              <w:left w:type="dxa" w:w="110"/>
              <w:bottom w:type="dxa" w:w="70"/>
              <w:right w:type="dxa" w:w="110"/>
            </w:tcMar>
          </w:tcPr>
          <w:p>
            <w:pPr>
              <w:spacing w:after="0" w:line="250"/>
            </w:pPr>
            <w:r>
              <w:rPr>
                <w:b w:val="false"/>
                <w:bCs w:val="false"/>
                <w:sz w:val="18"/>
                <w:szCs w:val="18"/>
              </w:rPr>
              <w:t xml:space="preserve">By editing the test. That is intended: the point is not to make the change impossible but to make it impossible to make quietly.</w:t>
            </w:r>
          </w:p>
        </w:tc>
      </w:tr>
      <w:tr>
        <w:tc>
          <w:tcPr>
            <w:tcW w:type="dxa" w:w="2600"/>
            <w:tcMar>
              <w:top w:type="dxa" w:w="70"/>
              <w:left w:type="dxa" w:w="110"/>
              <w:bottom w:type="dxa" w:w="70"/>
              <w:right w:type="dxa" w:w="110"/>
            </w:tcMar>
          </w:tcPr>
          <w:p>
            <w:pPr>
              <w:spacing w:after="0" w:line="250"/>
            </w:pPr>
            <w:r>
              <w:rPr>
                <w:b w:val="false"/>
                <w:bCs w:val="false"/>
                <w:sz w:val="18"/>
                <w:szCs w:val="18"/>
              </w:rPr>
              <w:t xml:space="preserve">Does not cover</w:t>
            </w:r>
          </w:p>
        </w:tc>
        <w:tc>
          <w:tcPr>
            <w:tcW w:type="dxa" w:w="6426"/>
            <w:tcMar>
              <w:top w:type="dxa" w:w="70"/>
              <w:left w:type="dxa" w:w="110"/>
              <w:bottom w:type="dxa" w:w="70"/>
              <w:right w:type="dxa" w:w="110"/>
            </w:tcMar>
          </w:tcPr>
          <w:p>
            <w:pPr>
              <w:spacing w:after="0" w:line="250"/>
            </w:pPr>
            <w:r>
              <w:rPr>
                <w:b w:val="false"/>
                <w:bCs w:val="false"/>
                <w:sz w:val="18"/>
                <w:szCs w:val="18"/>
              </w:rPr>
              <w:t xml:space="preserve">Runtime behaviour. A build can satisfy every dependency rule and never write a file. ADR 0001’s behavioural check (T017) remains the other half and is not replaced by this.</w:t>
            </w:r>
          </w:p>
        </w:tc>
      </w:tr>
    </w:tbl>
    <w:p>
      <w:pPr>
        <w:spacing w:after="180"/>
      </w:pPr>
    </w:p>
    <w:p>
      <w:pPr>
        <w:pBdr>
          <w:top w:val="single" w:color="CCCCCC" w:sz="6" w:space="8"/>
        </w:pBdr>
        <w:spacing w:after="100" w:before="200"/>
      </w:pPr>
      <w:r>
        <w:rPr>
          <w:b/>
          <w:bCs/>
          <w:color w:val="1F3864"/>
          <w:sz w:val="20"/>
          <w:szCs w:val="20"/>
        </w:rPr>
        <w:t xml:space="preserve">Note on verification</w:t>
      </w:r>
    </w:p>
    <w:p>
      <w:pPr>
        <w:spacing w:after="140" w:line="276"/>
      </w:pPr>
      <w:r>
        <w:rPr>
          <w:sz w:val="19"/>
          <w:szCs w:val="19"/>
        </w:rPr>
        <w:t xml:space="preserve">The fitness function in section 4 was written, corrected once after testing exposed the standard-library hole, and verified against a copy of the repository; it is proposed rather than committed, since adding it to the repository would go through the task list. Two items in the project remain unverified locally and are recorded as such: go test -race has never been executed, because the development machine has no C compiler, and the .gitattributes fix takes effect only once committed and pushed.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2026-08-14T16:44:31.099Z</dcterms:created>
  <dcterms:modified xsi:type="dcterms:W3CDTF">2026-08-14T16:44:31.100Z</dcterms:modified>
</cp:coreProperties>
</file>

<file path=docProps/custom.xml><?xml version="1.0" encoding="utf-8"?>
<Properties xmlns="http://schemas.openxmlformats.org/officeDocument/2006/custom-properties" xmlns:vt="http://schemas.openxmlformats.org/officeDocument/2006/docPropsVTypes"/>
</file>