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0FEE6">
      <w:pPr>
        <w:spacing w:before="560" w:after="28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48"/>
        </w:rPr>
        <w:t>华南农业大学</w:t>
      </w:r>
    </w:p>
    <w:p w14:paraId="0CCEA96F">
      <w:pPr>
        <w:spacing w:before="0" w:after="56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6"/>
        </w:rPr>
        <w:t>数学与信息学院、软件学院</w:t>
      </w:r>
    </w:p>
    <w:p w14:paraId="7456F694">
      <w:pPr>
        <w:spacing w:before="0" w:after="50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8"/>
        </w:rPr>
        <w:t>《人工智能导论》</w:t>
      </w:r>
      <w:r>
        <w:rPr>
          <w:rFonts w:ascii="Times New Roman" w:hAnsi="Times New Roman" w:eastAsia="黑体"/>
          <w:b/>
          <w:color w:val="auto"/>
          <w:sz w:val="38"/>
        </w:rPr>
        <w:br w:type="textWrapping"/>
      </w:r>
      <w:r>
        <w:rPr>
          <w:rFonts w:ascii="Times New Roman" w:hAnsi="Times New Roman" w:eastAsia="黑体"/>
          <w:b/>
          <w:color w:val="auto"/>
          <w:sz w:val="38"/>
        </w:rPr>
        <w:t>推理技术分组创新作业</w:t>
      </w:r>
    </w:p>
    <w:p w14:paraId="04C2EFAE">
      <w:pPr>
        <w:spacing w:before="0" w:after="52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42"/>
        </w:rPr>
        <w:t>面向企业股权风险评估的</w:t>
      </w:r>
      <w:r>
        <w:rPr>
          <w:rFonts w:ascii="Times New Roman" w:hAnsi="Times New Roman" w:eastAsia="黑体"/>
          <w:b/>
          <w:color w:val="auto"/>
          <w:sz w:val="42"/>
        </w:rPr>
        <w:br w:type="textWrapping"/>
      </w:r>
      <w:r>
        <w:rPr>
          <w:rFonts w:ascii="Times New Roman" w:hAnsi="Times New Roman" w:eastAsia="黑体"/>
          <w:b/>
          <w:color w:val="auto"/>
          <w:sz w:val="42"/>
        </w:rPr>
        <w:t>确定性与不确定性混合推理</w:t>
      </w:r>
    </w:p>
    <w:p w14:paraId="7D5F41F7">
      <w:pPr>
        <w:spacing w:before="0" w:after="24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6"/>
        </w:rPr>
        <w:t>软件工程5班　　第31组</w:t>
      </w:r>
    </w:p>
    <w:p w14:paraId="552F7D52">
      <w:pPr>
        <w:spacing w:before="240" w:after="240" w:line="300" w:lineRule="auto"/>
        <w:ind w:firstLine="0"/>
        <w:jc w:val="center"/>
        <w:rPr>
          <w:color w:val="auto"/>
        </w:rPr>
      </w:pPr>
      <w:bookmarkStart w:id="26" w:name="_GoBack"/>
      <w:bookmarkEnd w:id="26"/>
      <w:r>
        <w:rPr>
          <w:rFonts w:ascii="Times New Roman" w:hAnsi="Times New Roman" w:eastAsia="宋体"/>
          <w:b w:val="0"/>
          <w:color w:val="auto"/>
          <w:sz w:val="24"/>
        </w:rPr>
        <w:t>组长：梁镇贤　　课堂汇报：刘亦达</w:t>
      </w:r>
    </w:p>
    <w:p w14:paraId="07F81CCA">
      <w:pPr>
        <w:spacing w:before="240" w:after="0" w:line="300" w:lineRule="auto"/>
        <w:ind w:firstLine="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2026年10月26日</w:t>
      </w:r>
    </w:p>
    <w:p w14:paraId="76F98E45">
      <w:pPr>
        <w:ind w:firstLine="480"/>
        <w:jc w:val="both"/>
        <w:rPr>
          <w:color w:val="auto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2B15B0F">
      <w:pPr>
        <w:pStyle w:val="10"/>
        <w:keepNext/>
        <w:rPr>
          <w:color w:val="auto"/>
        </w:rPr>
      </w:pPr>
      <w:bookmarkStart w:id="0" w:name="摘要"/>
      <w:r>
        <w:rPr>
          <w:rFonts w:hint="eastAsia"/>
          <w:color w:val="auto"/>
        </w:rPr>
        <w:t>摘要</w:t>
      </w:r>
    </w:p>
    <w:p w14:paraId="23A375D9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企业股权复核同时涉及可由规则推导的结构关系与含噪、缺失的观测指标。针对单一推理方式难以兼顾解释性和信息不完整性的问题，本文构建确定性与不确定性混合推理系统。系统在同一教学股权场景中建立27条安全正Horn规则，实现正向不动点求值、表格化反向查询及独立归结证明；以Bayes和Mamdani处理四类共同指标，通过条件概率学习、隶属函数拟合和验证集权重选择完成优化。混合层保留结构证明，并将原始评分与最终复核行动分开。实验采用三个随机种子、独立训练验证测试划分及多种扰动。16组结构中，半朴素方法保持3031条事实和20轮迭代，相对索引朴素加速5.86倍；学习Bayes的清洁F1为0.8575。20%错误闭环条件下，校准策略较硬锁定减少8.66个百分点误报，但F1仍低于不锁定。结果说明，推理优化应同时评价答案一致性、计算代价和决策取舍，不能以结构约束满足替代真实风险识别能力。</w:t>
      </w:r>
    </w:p>
    <w:p w14:paraId="77A84449">
      <w:pPr>
        <w:pStyle w:val="8"/>
        <w:ind w:firstLine="0"/>
        <w:jc w:val="both"/>
        <w:rPr>
          <w:color w:val="auto"/>
        </w:rPr>
      </w:pPr>
      <w:r>
        <w:rPr>
          <w:rFonts w:hint="eastAsia"/>
          <w:color w:val="auto"/>
        </w:rPr>
        <w:t>关键词：确定性推理；贝叶斯推理；模糊推理；混合推理；股权风险</w:t>
      </w:r>
    </w:p>
    <w:bookmarkEnd w:id="0"/>
    <w:p w14:paraId="72025DF7">
      <w:pPr>
        <w:pStyle w:val="10"/>
        <w:keepNext/>
        <w:rPr>
          <w:color w:val="auto"/>
        </w:rPr>
      </w:pPr>
      <w:bookmarkStart w:id="1" w:name="引言"/>
      <w:r>
        <w:rPr>
          <w:color w:val="auto"/>
        </w:rPr>
        <w:t xml:space="preserve">1 </w:t>
      </w:r>
      <w:r>
        <w:rPr>
          <w:rFonts w:hint="eastAsia"/>
          <w:color w:val="auto"/>
        </w:rPr>
        <w:t>引言</w:t>
      </w:r>
    </w:p>
    <w:p w14:paraId="2239733B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企业股权关系跨越多层主体，并与担保、交易和亲属关系交织。低比例持股者可能通过受控企业影响目标公司，结构联系却不等于实际经营风险。系统因此需要分别处理结构证明、不完整观测的评分和最终复核行动。</w:t>
      </w:r>
    </w:p>
    <w:p w14:paraId="1EC6118E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国际调查记者同盟的Offshore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eaks数据库连接企业、股东与中介等主体，但资料可能重复或缺失，离岸实体本身也不等于非法活动[1]。该案例说明关系追踪与资料核验的需求。本文使用自行构造的教学数据，未将该数据库作为训练集，合成标签不代表真实合规结论。</w:t>
      </w:r>
    </w:p>
    <w:p w14:paraId="3B74AD15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本文在同一案例上实现确定性算法与两类不确定性算法，从五个维度比较方法，优化搜索和参数，并检验结构锁定在错误输入下的收益与代价。评价同时覆盖预测指标、完整证明、数据划分、模型重载和独立运行。</w:t>
      </w:r>
    </w:p>
    <w:bookmarkEnd w:id="1"/>
    <w:p w14:paraId="0342F29E">
      <w:pPr>
        <w:pStyle w:val="10"/>
        <w:keepNext/>
        <w:rPr>
          <w:color w:val="auto"/>
        </w:rPr>
      </w:pPr>
      <w:bookmarkStart w:id="2" w:name="相关理论基础"/>
      <w:r>
        <w:rPr>
          <w:color w:val="auto"/>
        </w:rPr>
        <w:t xml:space="preserve">2 </w:t>
      </w:r>
      <w:r>
        <w:rPr>
          <w:rFonts w:hint="eastAsia"/>
          <w:color w:val="auto"/>
        </w:rPr>
        <w:t>相关理论基础</w:t>
      </w:r>
    </w:p>
    <w:p w14:paraId="7BA293A8">
      <w:pPr>
        <w:pStyle w:val="11"/>
        <w:keepNext/>
        <w:rPr>
          <w:color w:val="auto"/>
        </w:rPr>
      </w:pPr>
      <w:bookmarkStart w:id="3" w:name="安全正horn规则与不动点"/>
      <w:r>
        <w:rPr>
          <w:color w:val="auto"/>
        </w:rPr>
        <w:t xml:space="preserve">2.1 </w:t>
      </w:r>
      <w:r>
        <w:rPr>
          <w:rFonts w:hint="eastAsia"/>
          <w:color w:val="auto"/>
        </w:rPr>
        <w:t>安全正Horn规则与不动点</w:t>
      </w:r>
    </w:p>
    <w:p w14:paraId="179D7D8F">
      <w:pPr>
        <w:pStyle w:val="9"/>
        <w:keepNext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规则写为</w:t>
      </w:r>
      <w:r>
        <w:rPr>
          <w:color w:val="auto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B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∧⋯∧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B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∧</m:t>
        </m:r>
        <m:r>
          <m:rPr/>
          <w:rPr>
            <w:color w:val="auto"/>
          </w:rPr>
          <m:t>G</m:t>
        </m:r>
        <m:r>
          <m:rPr>
            <m:sty m:val="p"/>
          </m:rPr>
          <w:rPr>
            <w:color w:val="auto"/>
          </w:rPr>
          <m:t>⇒</m:t>
        </m:r>
        <m:r>
          <m:rPr/>
          <w:rPr>
            <w:color w:val="auto"/>
          </w:rPr>
          <m:t>H</m:t>
        </m:r>
      </m:oMath>
      <w:r>
        <w:rPr>
          <w:rFonts w:hint="eastAsia"/>
          <w:color w:val="auto"/>
        </w:rPr>
        <w:t>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B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为正前件，</w:t>
      </w:r>
      <m:oMath>
        <m:r>
          <m:rPr/>
          <w:rPr>
            <w:color w:val="auto"/>
          </w:rPr>
          <m:t>G</m:t>
        </m:r>
      </m:oMath>
      <w:r>
        <w:rPr>
          <w:rFonts w:hint="eastAsia"/>
          <w:color w:val="auto"/>
        </w:rPr>
        <w:t>为守卫，</w:t>
      </w:r>
      <m:oMath>
        <m:r>
          <m:rPr/>
          <w:rPr>
            <w:color w:val="auto"/>
          </w:rPr>
          <m:t>H</m:t>
        </m:r>
      </m:oMath>
      <w:r>
        <w:rPr>
          <w:rFonts w:hint="eastAsia"/>
          <w:color w:val="auto"/>
        </w:rPr>
        <w:t>为结论，</w:t>
      </w:r>
      <m:oMath>
        <m:r>
          <m:rPr/>
          <w:rPr>
            <w:color w:val="auto"/>
          </w:rPr>
          <m:t>θ</m:t>
        </m:r>
      </m:oMath>
      <w:r>
        <w:rPr>
          <w:rFonts w:hint="eastAsia"/>
          <w:color w:val="auto"/>
        </w:rPr>
        <w:t>为基替换。安全性要求后件和守卫变量由前件绑定。对初始事实集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F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0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，每轮计算为</w:t>
      </w:r>
    </w:p>
    <w:p w14:paraId="067BDEA2">
      <w:pPr>
        <w:pStyle w:val="8"/>
        <w:ind w:firstLine="480"/>
        <w:jc w:val="both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F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t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r>
                <m:rPr/>
                <w:rPr>
                  <w:color w:val="auto"/>
                </w:rPr>
                <m:t>1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F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∪{</m:t>
          </m:r>
          <m:r>
            <m:rPr/>
            <w:rPr>
              <w:color w:val="auto"/>
            </w:rPr>
            <m:t>Hθ</m:t>
          </m:r>
          <m:r>
            <m:rPr>
              <m:sty m:val="p"/>
            </m:rPr>
            <w:rPr>
              <w:color w:val="auto"/>
            </w:rPr>
            <m:t>∣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B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/>
            <w:rPr>
              <w:color w:val="auto"/>
            </w:rPr>
            <m:t>θ</m:t>
          </m:r>
          <m:r>
            <m:rPr>
              <m:sty m:val="p"/>
            </m:rPr>
            <w:rPr>
              <w:color w:val="auto"/>
            </w:rPr>
            <m:t>∈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F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sub>
          </m:sSub>
          <m:r>
            <m:rPr/>
            <w:rPr>
              <w:color w:val="auto"/>
            </w:rPr>
            <m:t> </m:t>
          </m:r>
          <m:r>
            <m:rPr>
              <m:sty m:val="p"/>
            </m:rPr>
            <w:rPr>
              <w:color w:val="auto"/>
            </w:rPr>
            <m:t>(</m:t>
          </m:r>
          <m:r>
            <m:rPr/>
            <w:rPr>
              <w:color w:val="auto"/>
            </w:rPr>
            <m:t>i</m:t>
          </m:r>
          <m:r>
            <m:rPr>
              <m:sty m:val="p"/>
            </m:rPr>
            <w:rPr>
              <w:color w:val="auto"/>
            </w:rPr>
            <m:t>=</m:t>
          </m:r>
          <m:r>
            <m:rPr/>
            <w:rPr>
              <w:color w:val="auto"/>
            </w:rPr>
            <m:t>1</m:t>
          </m:r>
          <m:r>
            <m:rPr>
              <m:sty m:val="p"/>
            </m:rPr>
            <w:rPr>
              <w:color w:val="auto"/>
            </w:rPr>
            <m:t>,…,</m:t>
          </m:r>
          <m:r>
            <m:rPr/>
            <w:rPr>
              <w:color w:val="auto"/>
            </w:rPr>
            <m:t>m</m:t>
          </m:r>
          <m:r>
            <m:rPr>
              <m:sty m:val="p"/>
            </m:rPr>
            <w:rPr>
              <w:color w:val="auto"/>
            </w:rPr>
            <m:t>),</m:t>
          </m:r>
          <m:r>
            <m:rPr/>
            <w:rPr>
              <w:color w:val="auto"/>
            </w:rPr>
            <m:t> Gθ</m:t>
          </m:r>
          <m:r>
            <m:rPr>
              <m:sty m:val="p"/>
            </m:rPr>
            <w:rPr>
              <w:color w:val="auto"/>
            </w:rPr>
            <m:t>=true}.</m:t>
          </m:r>
        </m:oMath>
      </m:oMathPara>
    </w:p>
    <w:p w14:paraId="61943BB8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规则只增加事实，故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F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⊆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F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t</m:t>
            </m:r>
            <m:r>
              <m:rPr>
                <m:sty m:val="p"/>
              </m:rPr>
              <w:rPr>
                <w:color w:val="auto"/>
              </w:rPr>
              <m:t>+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。有限常量域、无函数项且守卫不生成常量时，基原子有限，迭代终止于最小不动点[2]。若事实及规则成立、每次应用保真，则闭包可靠；公平枚举并运行至饱和，则相对于给定系统完备。这不意味着规则覆盖全部真实业务。预算耗尽属于未完成，不能作为查询为假。</w:t>
      </w:r>
    </w:p>
    <w:p w14:paraId="72C56F69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反向推理将规则头与查询合一，再求解子目标。表格化求值使变量改名等价的子目标共用答案表，传播新答案至不动点，避免递归中重复展开。前件连接遍历全部候选，首次匹配失败后仍可回溯。</w:t>
      </w:r>
    </w:p>
    <w:bookmarkEnd w:id="3"/>
    <w:p w14:paraId="37244218">
      <w:pPr>
        <w:pStyle w:val="11"/>
        <w:keepNext/>
        <w:rPr>
          <w:color w:val="auto"/>
        </w:rPr>
      </w:pPr>
      <w:bookmarkStart w:id="4" w:name="归结演绎与证明范围"/>
      <w:r>
        <w:rPr>
          <w:color w:val="auto"/>
        </w:rPr>
        <w:t xml:space="preserve">2.2 </w:t>
      </w:r>
      <w:r>
        <w:rPr>
          <w:rFonts w:hint="eastAsia"/>
          <w:color w:val="auto"/>
        </w:rPr>
        <w:t>归结演绎与证明范围</w:t>
      </w:r>
    </w:p>
    <w:p w14:paraId="3CEC6FDB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归结以反证方式检查</w:t>
      </w:r>
      <m:oMath>
        <m:r>
          <m:rPr/>
          <w:rPr>
            <w:color w:val="auto"/>
          </w:rPr>
          <m:t>KB</m:t>
        </m:r>
        <m:r>
          <m:rPr>
            <m:sty m:val="p"/>
          </m:rPr>
          <w:rPr>
            <w:color w:val="auto"/>
          </w:rPr>
          <m:t>⊨</m:t>
        </m:r>
        <m:r>
          <m:rPr/>
          <w:rPr>
            <w:color w:val="auto"/>
          </w:rPr>
          <m:t>Q</m:t>
        </m:r>
      </m:oMath>
      <w:r>
        <w:rPr>
          <w:rFonts w:hint="eastAsia"/>
          <w:color w:val="auto"/>
        </w:rPr>
        <w:t>：把</w:t>
      </w:r>
      <m:oMath>
        <m:r>
          <m:rPr/>
          <w:rPr>
            <w:color w:val="auto"/>
          </w:rPr>
          <m:t>KB</m:t>
        </m:r>
        <m:r>
          <m:rPr>
            <m:sty m:val="p"/>
          </m:rPr>
          <w:rPr>
            <w:color w:val="auto"/>
          </w:rPr>
          <m:t>∧¬</m:t>
        </m:r>
        <m:r>
          <m:rPr/>
          <w:rPr>
            <w:color w:val="auto"/>
          </w:rPr>
          <m:t>Q</m:t>
        </m:r>
      </m:oMath>
      <w:r>
        <w:rPr>
          <w:rFonts w:hint="eastAsia"/>
          <w:color w:val="auto"/>
        </w:rPr>
        <w:t>化为子句集，通过互补文字合一生成归结式，导出空子句则证明目标成立[3]。实现中的规范化包括消去蕴含、否定内推、变量标准化、Skolem化及合取范式转换。合一带出现检查，Skolem符号使用独立身份标识，避免与用户常量同名时错误合并；整数项保持精确值。</w:t>
      </w:r>
    </w:p>
    <w:p w14:paraId="1D706C0B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归结器保存父子句与操作类型。一般一阶归结可能不终止，故设置时间、子句数和配对预算。股权主规则含数值守卫，独立归结子案例先把“大于一半”等比较转为显式事实，不把归结器视为完整算术求解器。</w:t>
      </w:r>
    </w:p>
    <w:bookmarkEnd w:id="4"/>
    <w:p w14:paraId="6AD64A91">
      <w:pPr>
        <w:pStyle w:val="11"/>
        <w:keepNext/>
        <w:rPr>
          <w:color w:val="auto"/>
        </w:rPr>
      </w:pPr>
      <w:bookmarkStart w:id="5" w:name="概率模糊与证据测度"/>
      <w:r>
        <w:rPr>
          <w:color w:val="auto"/>
        </w:rPr>
        <w:t xml:space="preserve">2.3 </w:t>
      </w:r>
      <w:r>
        <w:rPr>
          <w:rFonts w:hint="eastAsia"/>
          <w:color w:val="auto"/>
        </w:rPr>
        <w:t>概率、模糊与证据测度</w:t>
      </w:r>
    </w:p>
    <w:p w14:paraId="0DA99789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Bayes计算给定模型下的条件概率。本文以风险标签指向四个二值观测节点，假设指标在标签给定时条件独立[4]。这一简化可能不符合现实中交易、担保与循环结构的相关性。</w:t>
      </w:r>
    </w:p>
    <w:p w14:paraId="42BCB4B2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模糊隶属度描述概念边界，不是事件概率[5]。Mamdani通过规则激活、集合聚合和质心解模糊得到评分[6]。D-S把质量分配给两类判断及全识别框架，保留无知质量[7]。本文区分后验概率、模糊评分与最终行动。</w:t>
      </w:r>
    </w:p>
    <w:bookmarkEnd w:id="2"/>
    <w:bookmarkEnd w:id="5"/>
    <w:p w14:paraId="0AB8A48E">
      <w:pPr>
        <w:pStyle w:val="10"/>
        <w:keepNext/>
        <w:rPr>
          <w:color w:val="auto"/>
        </w:rPr>
      </w:pPr>
      <w:bookmarkStart w:id="6" w:name="场景与模型建模"/>
      <w:r>
        <w:rPr>
          <w:color w:val="auto"/>
        </w:rPr>
        <w:t xml:space="preserve">3 </w:t>
      </w:r>
      <w:r>
        <w:rPr>
          <w:rFonts w:hint="eastAsia"/>
          <w:color w:val="auto"/>
        </w:rPr>
        <w:t>场景与模型建模</w:t>
      </w:r>
    </w:p>
    <w:p w14:paraId="20B82EDE">
      <w:pPr>
        <w:pStyle w:val="11"/>
        <w:keepNext/>
        <w:rPr>
          <w:color w:val="auto"/>
        </w:rPr>
      </w:pPr>
      <w:bookmarkStart w:id="7" w:name="同源关系数据与一阶知识库"/>
      <w:r>
        <w:rPr>
          <w:color w:val="auto"/>
        </w:rPr>
        <w:t xml:space="preserve">3.1 </w:t>
      </w:r>
      <w:r>
        <w:rPr>
          <w:rFonts w:hint="eastAsia"/>
          <w:color w:val="auto"/>
        </w:rPr>
        <w:t>同源关系数据与一阶知识库</w:t>
      </w:r>
    </w:p>
    <w:p w14:paraId="5202E589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数据由六份本地CSV描述自然人、企业、持股、担保、交易和亲属关系。基础案例含16个实体，扩展案例含29个实体，其中包括9名自然人、20家企业、38条持股、12条担保、10条交易和5条亲属关系。扩展数据是明确构造的教学情景，原始快照不随网页编辑而改写。关系分别映射为Holds、Guarantee、Trade、Kin等谓词，派生事实记录触发规则、变量绑定和前提来源。</w:t>
      </w:r>
    </w:p>
    <w:p w14:paraId="14E1DB48">
      <w:pPr>
        <w:pStyle w:val="8"/>
        <w:keepNext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控制关系与经济权益采用不同定义。案例中P1持有C1的80%，C1持有C2的65%；C2持有C3的35%，C1另直接持有C3的20%。规则先推出两段绝对控制关系，再合计C1能够支配的C3份额为55%，得到C1控制C3，最后传递到P1。对应的简单路径经济权益为</w:t>
      </w:r>
    </w:p>
    <w:p w14:paraId="762050BF">
      <w:pPr>
        <w:pStyle w:val="8"/>
        <w:ind w:firstLine="480"/>
        <w:jc w:val="both"/>
        <w:rPr>
          <w:color w:val="auto"/>
        </w:rPr>
      </w:pPr>
      <m:oMathPara>
        <m:oMathParaPr>
          <m:jc m:val="center"/>
        </m:oMathParaPr>
        <m:oMath>
          <m:r>
            <m:rPr/>
            <w:rPr>
              <w:color w:val="auto"/>
            </w:rPr>
            <m:t>0.8</m:t>
          </m:r>
          <m:r>
            <m:rPr>
              <m:sty m:val="p"/>
            </m:rPr>
            <w:rPr>
              <w:color w:val="auto"/>
            </w:rPr>
            <m:t>×</m:t>
          </m:r>
          <m:r>
            <m:rPr/>
            <w:rPr>
              <w:color w:val="auto"/>
            </w:rPr>
            <m:t>0.2</m:t>
          </m:r>
          <m:r>
            <m:rPr>
              <m:sty m:val="p"/>
            </m:rPr>
            <w:rPr>
              <w:color w:val="auto"/>
            </w:rPr>
            <m:t>+</m:t>
          </m:r>
          <m:r>
            <m:rPr/>
            <w:rPr>
              <w:color w:val="auto"/>
            </w:rPr>
            <m:t>0.8</m:t>
          </m:r>
          <m:r>
            <m:rPr>
              <m:sty m:val="p"/>
            </m:rPr>
            <w:rPr>
              <w:color w:val="auto"/>
            </w:rPr>
            <m:t>×</m:t>
          </m:r>
          <m:r>
            <m:rPr/>
            <w:rPr>
              <w:color w:val="auto"/>
            </w:rPr>
            <m:t>0.65</m:t>
          </m:r>
          <m:r>
            <m:rPr>
              <m:sty m:val="p"/>
            </m:rPr>
            <w:rPr>
              <w:color w:val="auto"/>
            </w:rPr>
            <m:t>×</m:t>
          </m:r>
          <m:r>
            <m:rPr/>
            <w:rPr>
              <w:color w:val="auto"/>
            </w:rPr>
            <m:t>0.35</m:t>
          </m:r>
          <m:r>
            <m:rPr>
              <m:sty m:val="p"/>
            </m:rPr>
            <w:rPr>
              <w:color w:val="auto"/>
            </w:rPr>
            <m:t>=</m:t>
          </m:r>
          <m:r>
            <m:rPr/>
            <w:rPr>
              <w:color w:val="auto"/>
            </w:rPr>
            <m:t>0.342</m:t>
          </m:r>
          <m:r>
            <m:rPr>
              <m:sty m:val="p"/>
            </m:rPr>
            <w:rPr>
              <w:color w:val="auto"/>
            </w:rPr>
            <m:t>.</m:t>
          </m:r>
        </m:oMath>
      </m:oMathPara>
    </w:p>
    <w:p w14:paraId="0459FD4D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因而34.2%的经济权益与可支配55%份额并不矛盾。控制结论是既定教学规则下的候选关系，不能直接替代法律认定。循环持股的长期权益另由线性方程扩展处理，不将有限简单路径乘积称为所有循环收益之和。</w:t>
      </w:r>
    </w:p>
    <w:bookmarkEnd w:id="7"/>
    <w:p w14:paraId="4C2C9993">
      <w:pPr>
        <w:pStyle w:val="11"/>
        <w:keepNext/>
        <w:rPr>
          <w:color w:val="auto"/>
        </w:rPr>
      </w:pPr>
      <w:bookmarkStart w:id="8" w:name="共同指标与缺测语义"/>
      <w:r>
        <w:rPr>
          <w:color w:val="auto"/>
        </w:rPr>
        <w:t xml:space="preserve">3.2 </w:t>
      </w:r>
      <w:r>
        <w:rPr>
          <w:rFonts w:hint="eastAsia"/>
          <w:color w:val="auto"/>
        </w:rPr>
        <w:t>共同指标与缺测语义</w:t>
      </w:r>
    </w:p>
    <w:p w14:paraId="6BF50200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确定性闭包生成结构信息后，统一提取四类指标，供两种不确定性方法及混合模型使用。登记不透明度是教学设定，关联交易和担保负荷的分母是注册资本，不能解释为交易占营收的比例。数值超过1时截断仅用于评分，不改写原始关系。</w:t>
      </w:r>
    </w:p>
    <w:p w14:paraId="2408F487">
      <w:pPr>
        <w:pStyle w:val="8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表1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共同指标及缺测处理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3563"/>
        <w:gridCol w:w="3563"/>
      </w:tblGrid>
      <w:tr w14:paraId="56B0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61" w:type="dxa"/>
            <w:shd w:val="clear" w:color="auto" w:fill="auto"/>
          </w:tcPr>
          <w:p w14:paraId="2DDA16A5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指标</w:t>
            </w:r>
          </w:p>
        </w:tc>
        <w:tc>
          <w:tcPr>
            <w:tcW w:w="3472" w:type="dxa"/>
            <w:shd w:val="clear" w:color="auto" w:fill="auto"/>
          </w:tcPr>
          <w:p w14:paraId="25E3E124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建模定义</w:t>
            </w:r>
          </w:p>
        </w:tc>
        <w:tc>
          <w:tcPr>
            <w:tcW w:w="3472" w:type="dxa"/>
            <w:shd w:val="clear" w:color="auto" w:fill="auto"/>
          </w:tcPr>
          <w:p w14:paraId="1119987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缺测语义</w:t>
            </w:r>
          </w:p>
        </w:tc>
      </w:tr>
      <w:tr w14:paraId="73BE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38EFE6E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不透明度</w:t>
            </w:r>
          </w:p>
        </w:tc>
        <w:tc>
          <w:tcPr>
            <w:tcW w:w="3472" w:type="dxa"/>
            <w:shd w:val="clear" w:color="auto" w:fill="auto"/>
          </w:tcPr>
          <w:p w14:paraId="7E2DF43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登记披露的教学测度</w:t>
            </w:r>
          </w:p>
        </w:tc>
        <w:tc>
          <w:tcPr>
            <w:tcW w:w="3472" w:type="dxa"/>
            <w:shd w:val="clear" w:color="auto" w:fill="auto"/>
          </w:tcPr>
          <w:p w14:paraId="59E55F36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登记资料缺失时为未知</w:t>
            </w:r>
          </w:p>
        </w:tc>
      </w:tr>
      <w:tr w14:paraId="720E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3CE45322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关联交易</w:t>
            </w:r>
          </w:p>
        </w:tc>
        <w:tc>
          <w:tcPr>
            <w:tcW w:w="3472" w:type="dxa"/>
            <w:shd w:val="clear" w:color="auto" w:fill="auto"/>
          </w:tcPr>
          <w:p w14:paraId="3FDEF1C3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已识别关联交易额／注册资本</w:t>
            </w:r>
          </w:p>
        </w:tc>
        <w:tc>
          <w:tcPr>
            <w:tcW w:w="3472" w:type="dxa"/>
            <w:shd w:val="clear" w:color="auto" w:fill="auto"/>
          </w:tcPr>
          <w:p w14:paraId="30F1AC0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持股或交易资料不完整时为未知</w:t>
            </w:r>
          </w:p>
        </w:tc>
      </w:tr>
      <w:tr w14:paraId="0A16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7CE5D0C9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担保负荷</w:t>
            </w:r>
          </w:p>
        </w:tc>
        <w:tc>
          <w:tcPr>
            <w:tcW w:w="3472" w:type="dxa"/>
            <w:shd w:val="clear" w:color="auto" w:fill="auto"/>
          </w:tcPr>
          <w:p w14:paraId="632492D4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对外担保额／注册资本</w:t>
            </w:r>
          </w:p>
        </w:tc>
        <w:tc>
          <w:tcPr>
            <w:tcW w:w="3472" w:type="dxa"/>
            <w:shd w:val="clear" w:color="auto" w:fill="auto"/>
          </w:tcPr>
          <w:p w14:paraId="6482452C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担保资料不完整时为未知</w:t>
            </w:r>
          </w:p>
        </w:tc>
      </w:tr>
      <w:tr w14:paraId="58FB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47E3E175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回路线索</w:t>
            </w:r>
          </w:p>
        </w:tc>
        <w:tc>
          <w:tcPr>
            <w:tcW w:w="3472" w:type="dxa"/>
            <w:shd w:val="clear" w:color="auto" w:fill="auto"/>
          </w:tcPr>
          <w:p w14:paraId="529AE434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持股或担保可达闭包回到自身</w:t>
            </w:r>
          </w:p>
        </w:tc>
        <w:tc>
          <w:tcPr>
            <w:tcW w:w="3472" w:type="dxa"/>
            <w:shd w:val="clear" w:color="auto" w:fill="auto"/>
          </w:tcPr>
          <w:p w14:paraId="3D672526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保留已证正例；缺测且未证时为未知</w:t>
            </w:r>
          </w:p>
        </w:tc>
      </w:tr>
    </w:tbl>
    <w:p w14:paraId="4685773B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缺测用None表示。对于已经由已知关系证明的循环，资料不完整不会抹去这条正向证据；若缺失相关关系且尚未证明循环，则不能断言循环不存在。这种处理把逻辑中的“未证实”与统计输入中的“未知”对应起来，防止数据缺失被系统性编码为零风险。</w:t>
      </w:r>
    </w:p>
    <w:bookmarkEnd w:id="8"/>
    <w:p w14:paraId="5DBC764C">
      <w:pPr>
        <w:pStyle w:val="11"/>
        <w:keepNext/>
        <w:rPr>
          <w:color w:val="auto"/>
        </w:rPr>
      </w:pPr>
      <w:bookmarkStart w:id="9" w:name="bayes参数与mamdani集合"/>
      <w:r>
        <w:rPr>
          <w:color w:val="auto"/>
        </w:rPr>
        <w:t xml:space="preserve">3.3 </w:t>
      </w:r>
      <w:r>
        <w:rPr>
          <w:rFonts w:hint="eastAsia"/>
          <w:color w:val="auto"/>
        </w:rPr>
        <w:t>Bayes参数与Mamdani集合</w:t>
      </w:r>
    </w:p>
    <w:p w14:paraId="4263B8D8">
      <w:pPr>
        <w:pStyle w:val="9"/>
        <w:keepNext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设</w:t>
      </w:r>
      <m:oMath>
        <m:r>
          <m:rPr/>
          <w:rPr>
            <w:color w:val="auto"/>
          </w:rPr>
          <m:t>R</m:t>
        </m:r>
        <m:r>
          <m:rPr>
            <m:sty m:val="p"/>
          </m:rPr>
          <w:rPr>
            <w:color w:val="auto"/>
          </w:rPr>
          <m:t>∈{</m:t>
        </m:r>
        <m:r>
          <m:rPr/>
          <w:rPr>
            <w:color w:val="auto"/>
          </w:rPr>
          <m:t>0</m:t>
        </m:r>
        <m:r>
          <m:rPr>
            <m:sty m:val="p"/>
          </m:rPr>
          <w:rPr>
            <w:color w:val="auto"/>
          </w:rPr>
          <m:t>,</m:t>
        </m:r>
        <m:r>
          <m:rPr/>
          <w:rPr>
            <w:color w:val="auto"/>
          </w:rPr>
          <m:t>1</m:t>
        </m:r>
        <m:r>
          <m:rPr>
            <m:sty m:val="p"/>
          </m:rPr>
          <w:rPr>
            <w:color w:val="auto"/>
          </w:rPr>
          <m:t>}</m:t>
        </m:r>
      </m:oMath>
      <w:r>
        <w:rPr>
          <w:rFonts w:hint="eastAsia"/>
          <w:color w:val="auto"/>
        </w:rPr>
        <w:t>为合成标签，</w:t>
      </w:r>
      <m:oMath>
        <m:r>
          <m:rPr/>
          <w:rPr>
            <w:color w:val="auto"/>
          </w:rPr>
          <m:t>π</m:t>
        </m:r>
      </m:oMath>
      <w:r>
        <w:rPr>
          <w:rFonts w:hint="eastAsia"/>
          <w:color w:val="auto"/>
        </w:rPr>
        <w:t>为先验，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b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j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为按0.5阈值二值化的指标，</w:t>
      </w:r>
      <m:oMath>
        <m:r>
          <m:rPr/>
          <w:rPr>
            <w:color w:val="auto"/>
          </w:rPr>
          <m:t>O</m:t>
        </m:r>
      </m:oMath>
      <w:r>
        <w:rPr>
          <w:rFonts w:hint="eastAsia"/>
          <w:color w:val="auto"/>
        </w:rPr>
        <w:t>为观测集合。依据Bayes公式和条件独立假设，有</w:t>
      </w:r>
    </w:p>
    <w:p w14:paraId="42946914">
      <w:pPr>
        <w:pStyle w:val="8"/>
        <w:ind w:firstLine="480"/>
        <w:jc w:val="both"/>
        <w:rPr>
          <w:color w:val="auto"/>
        </w:rPr>
      </w:pPr>
      <m:oMathPara>
        <m:oMathParaPr>
          <m:jc m:val="center"/>
        </m:oMathParaPr>
        <m:oMath>
          <m:r>
            <m:rPr/>
            <w:rPr>
              <w:color w:val="auto"/>
            </w:rPr>
            <m:t>P</m:t>
          </m:r>
          <m:r>
            <m:rPr>
              <m:sty m:val="p"/>
            </m:rPr>
            <w:rPr>
              <w:color w:val="auto"/>
            </w:rPr>
            <m:t>(</m:t>
          </m:r>
          <m:r>
            <m:rPr/>
            <w:rPr>
              <w:color w:val="auto"/>
            </w:rPr>
            <m:t>R</m:t>
          </m:r>
          <m:r>
            <m:rPr>
              <m:sty m:val="p"/>
            </m:rPr>
            <w:rPr>
              <w:color w:val="auto"/>
            </w:rPr>
            <m:t>=</m:t>
          </m:r>
          <m:r>
            <m:rPr/>
            <w:rPr>
              <w:color w:val="auto"/>
            </w:rPr>
            <m:t>1</m:t>
          </m:r>
          <m:r>
            <m:rPr>
              <m:sty m:val="p"/>
            </m:rPr>
            <w:rPr>
              <w:color w:val="auto"/>
            </w:rPr>
            <m:t>∣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b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O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)=</m:t>
          </m:r>
          <m:f>
            <m:fPr>
              <m:ctrlPr>
                <w:rPr>
                  <w:color w:val="auto"/>
                </w:rPr>
              </m:ctrlPr>
            </m:fPr>
            <m:num>
              <m:r>
                <m:rPr/>
                <w:rPr>
                  <w:color w:val="auto"/>
                </w:rPr>
                <m:t>π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color w:val="auto"/>
                    </w:rPr>
                  </m:ctrlPr>
                </m:naryPr>
                <m:sub>
                  <m:r>
                    <m:rPr/>
                    <w:rPr>
                      <w:color w:val="auto"/>
                    </w:rPr>
                    <m:t>j</m:t>
                  </m:r>
                  <m:r>
                    <m:rPr>
                      <m:sty m:val="p"/>
                    </m:rPr>
                    <w:rPr>
                      <w:color w:val="auto"/>
                    </w:rPr>
                    <m:t>∈</m:t>
                  </m:r>
                  <m:r>
                    <m:rPr/>
                    <w:rPr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sub>
                <m:sup>
                  <m:r>
                    <m:rPr/>
                    <w:rPr>
                      <w:color w:val="auto"/>
                    </w:rPr>
                    <m:t>​</m:t>
                  </m:r>
                  <m:ctrlPr>
                    <w:rPr>
                      <w:color w:val="auto"/>
                    </w:rPr>
                  </m:ctrlPr>
                </m:sup>
                <m:e>
                  <m:r>
                    <m:rPr/>
                    <w:rPr>
                      <w:color w:val="auto"/>
                    </w:rPr>
                    <m:t>P</m:t>
                  </m:r>
                  <m:ctrlPr>
                    <w:rPr>
                      <w:color w:val="auto"/>
                    </w:rPr>
                  </m:ctrlPr>
                </m:e>
              </m:nary>
              <m:r>
                <m:rPr>
                  <m:sty m:val="p"/>
                </m:rPr>
                <w:rPr>
                  <w:color w:val="auto"/>
                </w:rPr>
                <m:t>(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b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j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∣</m:t>
              </m:r>
              <m:r>
                <m:rPr/>
                <w:rPr>
                  <w:color w:val="auto"/>
                </w:rPr>
                <m:t>R</m:t>
              </m:r>
              <m:r>
                <m:rPr>
                  <m:sty m:val="p"/>
                </m:rPr>
                <w:rPr>
                  <w:color w:val="auto"/>
                </w:rPr>
                <m:t>=</m:t>
              </m:r>
              <m:r>
                <m:rPr/>
                <w:rPr>
                  <w:color w:val="auto"/>
                </w:rPr>
                <m:t>1</m:t>
              </m:r>
              <m:r>
                <m:rPr>
                  <m:sty m:val="p"/>
                </m:rPr>
                <w:rPr>
                  <w:color w:val="auto"/>
                </w:rPr>
                <m:t>)</m:t>
              </m:r>
              <m:ctrlPr>
                <w:rPr>
                  <w:color w:val="auto"/>
                </w:rPr>
              </m:ctrlPr>
            </m:num>
            <m:den>
              <m:r>
                <m:rPr/>
                <w:rPr>
                  <w:color w:val="auto"/>
                </w:rPr>
                <m:t>π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color w:val="auto"/>
                    </w:rPr>
                  </m:ctrlPr>
                </m:naryPr>
                <m:sub>
                  <m:r>
                    <m:rPr/>
                    <w:rPr>
                      <w:color w:val="auto"/>
                    </w:rPr>
                    <m:t>j</m:t>
                  </m:r>
                  <m:r>
                    <m:rPr>
                      <m:sty m:val="p"/>
                    </m:rPr>
                    <w:rPr>
                      <w:color w:val="auto"/>
                    </w:rPr>
                    <m:t>∈</m:t>
                  </m:r>
                  <m:r>
                    <m:rPr/>
                    <w:rPr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sub>
                <m:sup>
                  <m:r>
                    <m:rPr/>
                    <w:rPr>
                      <w:color w:val="auto"/>
                    </w:rPr>
                    <m:t>​</m:t>
                  </m:r>
                  <m:ctrlPr>
                    <w:rPr>
                      <w:color w:val="auto"/>
                    </w:rPr>
                  </m:ctrlPr>
                </m:sup>
                <m:e>
                  <m:r>
                    <m:rPr/>
                    <w:rPr>
                      <w:color w:val="auto"/>
                    </w:rPr>
                    <m:t>P</m:t>
                  </m:r>
                  <m:ctrlPr>
                    <w:rPr>
                      <w:color w:val="auto"/>
                    </w:rPr>
                  </m:ctrlPr>
                </m:e>
              </m:nary>
              <m:r>
                <m:rPr>
                  <m:sty m:val="p"/>
                </m:rPr>
                <w:rPr>
                  <w:color w:val="auto"/>
                </w:rPr>
                <m:t>(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b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j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∣</m:t>
              </m:r>
              <m:r>
                <m:rPr/>
                <w:rPr>
                  <w:color w:val="auto"/>
                </w:rPr>
                <m:t>R</m:t>
              </m:r>
              <m:r>
                <m:rPr>
                  <m:sty m:val="p"/>
                </m:rPr>
                <w:rPr>
                  <w:color w:val="auto"/>
                </w:rPr>
                <m:t>=</m:t>
              </m:r>
              <m:r>
                <m:rPr/>
                <w:rPr>
                  <w:color w:val="auto"/>
                </w:rPr>
                <m:t>1</m:t>
              </m:r>
              <m:r>
                <m:rPr>
                  <m:sty m:val="p"/>
                </m:rPr>
                <w:rPr>
                  <w:color w:val="auto"/>
                </w:rPr>
                <m:t>)+(</m:t>
              </m:r>
              <m:r>
                <m:rPr/>
                <w:rPr>
                  <w:color w:val="auto"/>
                </w:rPr>
                <m:t>1</m:t>
              </m:r>
              <m:r>
                <m:rPr>
                  <m:sty m:val="p"/>
                </m:rPr>
                <w:rPr>
                  <w:color w:val="auto"/>
                </w:rPr>
                <m:t>−</m:t>
              </m:r>
              <m:r>
                <m:rPr/>
                <w:rPr>
                  <w:color w:val="auto"/>
                </w:rPr>
                <m:t>π</m:t>
              </m:r>
              <m:r>
                <m:rPr>
                  <m:sty m:val="p"/>
                </m:rPr>
                <w:rPr>
                  <w:color w:val="auto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color w:val="auto"/>
                    </w:rPr>
                  </m:ctrlPr>
                </m:naryPr>
                <m:sub>
                  <m:r>
                    <m:rPr/>
                    <w:rPr>
                      <w:color w:val="auto"/>
                    </w:rPr>
                    <m:t>j</m:t>
                  </m:r>
                  <m:r>
                    <m:rPr>
                      <m:sty m:val="p"/>
                    </m:rPr>
                    <w:rPr>
                      <w:color w:val="auto"/>
                    </w:rPr>
                    <m:t>∈</m:t>
                  </m:r>
                  <m:r>
                    <m:rPr/>
                    <w:rPr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sub>
                <m:sup>
                  <m:r>
                    <m:rPr/>
                    <w:rPr>
                      <w:color w:val="auto"/>
                    </w:rPr>
                    <m:t>​</m:t>
                  </m:r>
                  <m:ctrlPr>
                    <w:rPr>
                      <w:color w:val="auto"/>
                    </w:rPr>
                  </m:ctrlPr>
                </m:sup>
                <m:e>
                  <m:r>
                    <m:rPr/>
                    <w:rPr>
                      <w:color w:val="auto"/>
                    </w:rPr>
                    <m:t>P</m:t>
                  </m:r>
                  <m:ctrlPr>
                    <w:rPr>
                      <w:color w:val="auto"/>
                    </w:rPr>
                  </m:ctrlPr>
                </m:e>
              </m:nary>
              <m:r>
                <m:rPr>
                  <m:sty m:val="p"/>
                </m:rPr>
                <w:rPr>
                  <w:color w:val="auto"/>
                </w:rPr>
                <m:t>(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b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j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∣</m:t>
              </m:r>
              <m:r>
                <m:rPr/>
                <w:rPr>
                  <w:color w:val="auto"/>
                </w:rPr>
                <m:t>R</m:t>
              </m:r>
              <m:r>
                <m:rPr>
                  <m:sty m:val="p"/>
                </m:rPr>
                <w:rPr>
                  <w:color w:val="auto"/>
                </w:rPr>
                <m:t>=</m:t>
              </m:r>
              <m:r>
                <m:rPr/>
                <w:rPr>
                  <w:color w:val="auto"/>
                </w:rPr>
                <m:t>0</m:t>
              </m:r>
              <m:r>
                <m:rPr>
                  <m:sty m:val="p"/>
                </m:rPr>
                <w:rPr>
                  <w:color w:val="auto"/>
                </w:rPr>
                <m:t>)</m:t>
              </m:r>
              <m:ctrlPr>
                <w:rPr>
                  <w:color w:val="auto"/>
                </w:rPr>
              </m:ctrlPr>
            </m:den>
          </m:f>
          <m:r>
            <m:rPr>
              <m:sty m:val="p"/>
            </m:rPr>
            <w:rPr>
              <w:color w:val="auto"/>
            </w:rPr>
            <m:t>.</m:t>
          </m:r>
        </m:oMath>
      </m:oMathPara>
    </w:p>
    <w:p w14:paraId="01B71BF6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手工基线先验为0.25，四项指标在低、高标签下取值为1的条件概率分别为(0.28,0.65)、(0.22,0.70)、(0.24,0.62)、(0.12,0.60)。学习模型仅使用训练集，以Laplace平滑估计参数；对特征</w:t>
      </w:r>
      <m:oMath>
        <m:r>
          <m:rPr/>
          <w:rPr>
            <w:color w:val="auto"/>
          </w:rPr>
          <m:t>j</m:t>
        </m:r>
      </m:oMath>
      <w:r>
        <w:rPr>
          <w:rFonts w:hint="eastAsia"/>
          <w:color w:val="auto"/>
        </w:rPr>
        <w:t>、标签</w:t>
      </w:r>
      <m:oMath>
        <m:r>
          <m:rPr/>
          <w:rPr>
            <w:color w:val="auto"/>
          </w:rPr>
          <m:t>r</m:t>
        </m:r>
      </m:oMath>
      <w:r>
        <w:rPr>
          <w:rFonts w:hint="eastAsia"/>
          <w:color w:val="auto"/>
        </w:rPr>
        <w:t>，估计式为</w:t>
      </w:r>
      <m:oMath>
        <m:r>
          <m:rPr>
            <m:sty m:val="p"/>
          </m:rPr>
          <w:rPr>
            <w:color w:val="auto"/>
          </w:rPr>
          <m:t>(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n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jr</m:t>
            </m:r>
            <m:r>
              <m:rPr>
                <m:sty m:val="p"/>
              </m:rPr>
              <w:rPr>
                <w:color w:val="auto"/>
              </w:rPr>
              <m:t>,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+</m:t>
        </m:r>
        <m:r>
          <m:rPr/>
          <w:rPr>
            <w:color w:val="auto"/>
          </w:rPr>
          <m:t>α</m:t>
        </m:r>
        <m:r>
          <m:rPr>
            <m:sty m:val="p"/>
          </m:rPr>
          <w:rPr>
            <w:color w:val="auto"/>
          </w:rPr>
          <m:t>)/(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n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jr</m:t>
            </m:r>
            <m:r>
              <m:rPr>
                <m:sty m:val="p"/>
              </m:rPr>
              <w:rPr>
                <w:color w:val="auto"/>
              </w:rPr>
              <m:t>,obs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+</m:t>
        </m:r>
        <m:r>
          <m:rPr/>
          <w:rPr>
            <w:color w:val="auto"/>
          </w:rPr>
          <m:t>2α</m:t>
        </m:r>
        <m:r>
          <m:rPr>
            <m:sty m:val="p"/>
          </m:rPr>
          <w:rPr>
            <w:color w:val="auto"/>
          </w:rPr>
          <m:t>)</m:t>
        </m:r>
      </m:oMath>
      <w:r>
        <w:rPr>
          <w:color w:val="auto"/>
        </w:rPr>
        <w:t>。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n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jr</m:t>
            </m:r>
            <m:r>
              <m:rPr>
                <m:sty m:val="p"/>
              </m:rPr>
              <w:rPr>
                <w:color w:val="auto"/>
              </w:rPr>
              <m:t>,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统计取1者，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n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jr</m:t>
            </m:r>
            <m:r>
              <m:rPr>
                <m:sty m:val="p"/>
              </m:rPr>
              <w:rPr>
                <w:color w:val="auto"/>
              </w:rPr>
              <m:t>,obs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统计已观测者，</w:t>
      </w:r>
      <m:oMath>
        <m:r>
          <m:rPr/>
          <w:rPr>
            <w:color w:val="auto"/>
          </w:rPr>
          <m:t>α</m:t>
        </m:r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1</m:t>
        </m:r>
      </m:oMath>
      <w:r>
        <w:rPr>
          <w:rFonts w:hint="eastAsia"/>
          <w:color w:val="auto"/>
        </w:rPr>
        <w:t>。解析预测在对数域累加似然比，另用变量消元和穷举交叉核对。</w:t>
      </w:r>
    </w:p>
    <w:p w14:paraId="3986D5BC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Mamdani为每项输入定义低、中、高三个集合。低集合为肩形(0,0,</w:t>
      </w:r>
      <m:oMath>
        <m:r>
          <m:rPr/>
          <w:rPr>
            <w:color w:val="auto"/>
          </w:rPr>
          <m:t>1</m:t>
        </m:r>
        <m:r>
          <m:rPr>
            <m:sty m:val="p"/>
          </m:rPr>
          <w:rPr>
            <w:color w:val="auto"/>
          </w:rPr>
          <m:t>−</m:t>
        </m:r>
        <m:r>
          <m:rPr/>
          <w:rPr>
            <w:color w:val="auto"/>
          </w:rPr>
          <m:t>a</m:t>
        </m:r>
      </m:oMath>
      <w:r>
        <w:rPr>
          <w:rFonts w:hint="eastAsia"/>
          <w:color w:val="auto"/>
        </w:rPr>
        <w:t>)，中集合为三角形(0,0.5,1)，高集合为肩形(</w:t>
      </w:r>
      <m:oMath>
        <m:r>
          <m:rPr/>
          <w:rPr>
            <w:color w:val="auto"/>
          </w:rPr>
          <m:t>a</m:t>
        </m:r>
      </m:oMath>
      <w:r>
        <w:rPr>
          <w:rFonts w:hint="eastAsia"/>
          <w:color w:val="auto"/>
        </w:rPr>
        <w:t>,1,1)，默认</w:t>
      </w:r>
      <m:oMath>
        <m:r>
          <m:rPr/>
          <w:rPr>
            <w:color w:val="auto"/>
          </w:rPr>
          <m:t>a</m:t>
        </m:r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0.45</m:t>
        </m:r>
      </m:oMath>
      <w:r>
        <w:rPr>
          <w:rFonts w:hint="eastAsia"/>
          <w:color w:val="auto"/>
        </w:rPr>
        <w:t>。各指标高线索的权重依次为0.65、0.90、0.85和1.00；两个高隶属度线索可共同支持高输出。低规则用最小值合取，中等规则用最大激活度乘系数，高规则综合单项与双线索激活。</w:t>
      </w:r>
    </w:p>
    <w:p w14:paraId="33BD760F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输出集合采用低(0,0,0.45)、中(0.2,0.5,0.8)、高(0.55,1,1)。设规则激活度为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A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，聚合为</w:t>
      </w:r>
      <m:oMath>
        <m:r>
          <m:rPr/>
          <w:rPr>
            <w:color w:val="auto"/>
          </w:rPr>
          <m:t>μ</m:t>
        </m:r>
        <m:r>
          <m:rPr>
            <m:sty m:val="p"/>
          </m:rPr>
          <w:rPr>
            <w:color w:val="auto"/>
          </w:rPr>
          <m:t>(</m:t>
        </m:r>
        <m:r>
          <m:rPr/>
          <w:rPr>
            <w:color w:val="auto"/>
          </w:rPr>
          <m:t>z</m:t>
        </m:r>
        <m:r>
          <m:rPr>
            <m:sty m:val="p"/>
          </m:rPr>
          <w:rPr>
            <w:color w:val="auto"/>
          </w:rPr>
          <m:t>)=</m:t>
        </m:r>
        <m:sSub>
          <m:sSubPr>
            <m:ctrlPr>
              <w:rPr>
                <w:color w:val="auto"/>
              </w:rPr>
            </m:ctrlPr>
          </m:sSubPr>
          <m:e>
            <m:r>
              <m:rPr>
                <m:sty m:val="p"/>
              </m:rPr>
              <w:rPr>
                <w:color w:val="auto"/>
              </w:rPr>
              <m:t>max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min(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A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,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μ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(</m:t>
        </m:r>
        <m:r>
          <m:rPr/>
          <w:rPr>
            <w:color w:val="auto"/>
          </w:rPr>
          <m:t>z</m:t>
        </m:r>
        <m:r>
          <m:rPr>
            <m:sty m:val="p"/>
          </m:rPr>
          <w:rPr>
            <w:color w:val="auto"/>
          </w:rPr>
          <m:t>))</m:t>
        </m:r>
      </m:oMath>
      <w:r>
        <w:rPr>
          <w:rFonts w:hint="eastAsia"/>
          <w:color w:val="auto"/>
        </w:rPr>
        <w:t>。质心在101点网格上用梯形权重计算，端点权重取一半。若观测覆盖率为</w:t>
      </w:r>
      <m:oMath>
        <m:r>
          <m:rPr/>
          <w:rPr>
            <w:color w:val="auto"/>
          </w:rPr>
          <m:t>q</m:t>
        </m:r>
      </m:oMath>
      <w:r>
        <w:rPr>
          <w:rFonts w:hint="eastAsia"/>
          <w:color w:val="auto"/>
        </w:rPr>
        <w:t>，最终评分为</w:t>
      </w:r>
      <m:oMath>
        <m:r>
          <m:rPr/>
          <w:rPr>
            <w:color w:val="auto"/>
          </w:rPr>
          <m:t>s</m:t>
        </m:r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q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z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∗</m:t>
            </m:r>
            <m:ctrlPr>
              <w:rPr>
                <w:color w:val="auto"/>
              </w:rPr>
            </m:ctrlPr>
          </m:sup>
        </m:sSup>
        <m:r>
          <m:rPr>
            <m:sty m:val="p"/>
          </m:rPr>
          <w:rPr>
            <w:color w:val="auto"/>
          </w:rPr>
          <m:t>+(</m:t>
        </m:r>
        <m:r>
          <m:rPr/>
          <w:rPr>
            <w:color w:val="auto"/>
          </w:rPr>
          <m:t>1</m:t>
        </m:r>
        <m:r>
          <m:rPr>
            <m:sty m:val="p"/>
          </m:rPr>
          <w:rPr>
            <w:color w:val="auto"/>
          </w:rPr>
          <m:t>−</m:t>
        </m:r>
        <m:r>
          <m:rPr/>
          <w:rPr>
            <w:color w:val="auto"/>
          </w:rPr>
          <m:t>q</m:t>
        </m:r>
        <m:r>
          <m:rPr>
            <m:sty m:val="p"/>
          </m:rPr>
          <w:rPr>
            <w:color w:val="auto"/>
          </w:rPr>
          <m:t>)×</m:t>
        </m:r>
        <m:r>
          <m:rPr/>
          <w:rPr>
            <w:color w:val="auto"/>
          </w:rPr>
          <m:t>0.5</m:t>
        </m:r>
      </m:oMath>
      <w:r>
        <w:rPr>
          <w:rFonts w:hint="eastAsia"/>
          <w:color w:val="auto"/>
        </w:rPr>
        <w:t>；全部缺测返回0.5，而非判为低风险。拟合时预先设定5个高隶属起点和3个中等激活系数，共15个候选，仅按训练集平方损失选择。</w:t>
      </w:r>
    </w:p>
    <w:bookmarkEnd w:id="6"/>
    <w:bookmarkEnd w:id="9"/>
    <w:p w14:paraId="58299E0D">
      <w:pPr>
        <w:pStyle w:val="10"/>
        <w:keepNext/>
        <w:rPr>
          <w:color w:val="auto"/>
        </w:rPr>
      </w:pPr>
      <w:bookmarkStart w:id="10" w:name="算法设计与工程实现"/>
      <w:r>
        <w:rPr>
          <w:color w:val="auto"/>
        </w:rPr>
        <w:t xml:space="preserve">4 </w:t>
      </w:r>
      <w:r>
        <w:rPr>
          <w:rFonts w:hint="eastAsia"/>
          <w:color w:val="auto"/>
        </w:rPr>
        <w:t>算法设计与工程实现</w:t>
      </w:r>
    </w:p>
    <w:p w14:paraId="7353E5A0">
      <w:pPr>
        <w:pStyle w:val="11"/>
        <w:keepNext/>
        <w:rPr>
          <w:color w:val="auto"/>
        </w:rPr>
      </w:pPr>
      <w:bookmarkStart w:id="11" w:name="保持语义的确定性优化"/>
      <w:r>
        <w:rPr>
          <w:color w:val="auto"/>
        </w:rPr>
        <w:t xml:space="preserve">4.1 </w:t>
      </w:r>
      <w:r>
        <w:rPr>
          <w:rFonts w:hint="eastAsia"/>
          <w:color w:val="auto"/>
        </w:rPr>
        <w:t>保持语义的确定性优化</w:t>
      </w:r>
    </w:p>
    <w:p w14:paraId="743F7838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正向引擎维护去重工作记忆，并建立谓词索引和已绑定参数索引。全扫描版本遍历事实集合；索引朴素版本缩小候选集，但仍逐轮重复连接；半朴素版本要求每次连接至少包含一个上一轮新增事实，把增量直接作为前件连接的锚点。相同绑定在多个锚点出现时再次去重，避免重复触发。</w:t>
      </w:r>
    </w:p>
    <w:p w14:paraId="46DDB8DA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三种实现均先收集新结论，再统一加入工作记忆，保证轮次语义一致。新事实的前提来自已完成轮次，证明图不会自引用。连接成本仍取决于前件数、关系规模和选择性，实测加速比不能替代复杂度分析。</w:t>
      </w:r>
    </w:p>
    <w:p w14:paraId="69654A01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目标切片反向收集查询依赖，只保留目标答案等价性。归结采用given-clause、互补谓词索引、短子句优先和包摄剪枝，周期性选择最早子句以避免饥饿。因子化结果单独保留，防止过度剪枝损害证明能力。</w:t>
      </w:r>
    </w:p>
    <w:bookmarkEnd w:id="11"/>
    <w:p w14:paraId="137D5085">
      <w:pPr>
        <w:pStyle w:val="11"/>
        <w:keepNext/>
        <w:rPr>
          <w:color w:val="auto"/>
        </w:rPr>
      </w:pPr>
      <w:bookmarkStart w:id="12" w:name="混合评分与校准复核"/>
      <w:r>
        <w:rPr>
          <w:color w:val="auto"/>
        </w:rPr>
        <w:t xml:space="preserve">4.2 </w:t>
      </w:r>
      <w:r>
        <w:rPr>
          <w:rFonts w:hint="eastAsia"/>
          <w:color w:val="auto"/>
        </w:rPr>
        <w:t>混合评分与校准复核</w:t>
      </w:r>
    </w:p>
    <w:p w14:paraId="5FC27C6E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混合评分采用线性意见池</w:t>
      </w:r>
      <m:oMath>
        <m:r>
          <m:rPr/>
          <w:rPr>
            <w:color w:val="auto"/>
          </w:rPr>
          <m:t>s</m:t>
        </m:r>
        <m:r>
          <m:rPr>
            <m:sty m:val="p"/>
          </m:rPr>
          <w:rPr>
            <w:color w:val="auto"/>
          </w:rPr>
          <m:t>=</m:t>
        </m:r>
        <m:nary>
          <m:naryPr>
            <m:chr m:val="∑"/>
            <m:limLoc m:val="undOvr"/>
            <m:supHide m:val="1"/>
            <m:ctrlPr>
              <w:rPr>
                <w:color w:val="auto"/>
              </w:rPr>
            </m:ctrlPr>
          </m:naryPr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  <m:sup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sup>
          <m:e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w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i</m:t>
                </m:r>
                <m:ctrlPr>
                  <w:rPr>
                    <w:color w:val="auto"/>
                  </w:rPr>
                </m:ctrlPr>
              </m:sub>
            </m:sSub>
            <m:ctrlPr>
              <w:rPr>
                <w:color w:val="auto"/>
              </w:rPr>
            </m:ctrlPr>
          </m:e>
        </m:nary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s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hint="eastAsia"/>
          <w:color w:val="auto"/>
        </w:rPr>
        <w:t>，权重非负且和为1。固定混合使用学习后的Bayes、手工Mamdani及规则意见，权重为0.60、0.25、0.15。自适应混合进一步使用拟合后的Mamdani，并在验证集上从15组四分之一间隔的权重组合中最小化Brier平方损失。候选包含纯模型，允许选择结果退化为单一Bayes，不强迫实验产生融合优势。</w:t>
      </w:r>
    </w:p>
    <w:p w14:paraId="15D84BC5">
      <w:pPr>
        <w:pStyle w:val="8"/>
        <w:keepNext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令</w:t>
      </w:r>
      <m:oMath>
        <m:r>
          <m:rPr/>
          <w:rPr>
            <w:color w:val="auto"/>
          </w:rPr>
          <m:t>A</m:t>
        </m:r>
      </m:oMath>
      <w:r>
        <w:rPr>
          <w:rFonts w:hint="eastAsia"/>
          <w:color w:val="auto"/>
        </w:rPr>
        <w:t>表示观测图中已证明的高等级结构预警，</w:t>
      </w:r>
      <m:oMath>
        <m:r>
          <m:rPr/>
          <w:rPr>
            <w:color w:val="auto"/>
          </w:rPr>
          <m:t>τ</m:t>
        </m:r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0.5</m:t>
        </m:r>
      </m:oMath>
      <w:r>
        <w:rPr>
          <w:rFonts w:hint="eastAsia"/>
          <w:color w:val="auto"/>
        </w:rPr>
        <w:t>为共同决策阈值。三种策略定义为</w:t>
      </w:r>
    </w:p>
    <w:p w14:paraId="60E446B4">
      <w:pPr>
        <w:pStyle w:val="8"/>
        <w:ind w:firstLine="480"/>
        <w:jc w:val="both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d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U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r>
            <m:rPr>
              <m:sty m:val="p"/>
              <m:scr m:val="double-struck"/>
            </m:rPr>
            <w:rPr>
              <w:color w:val="auto"/>
            </w:rPr>
            <m:t>1</m:t>
          </m:r>
          <m:r>
            <m:rPr>
              <m:sty m:val="p"/>
            </m:rPr>
            <w:rPr>
              <w:color w:val="auto"/>
            </w:rPr>
            <m:t>(</m:t>
          </m:r>
          <m:r>
            <m:rPr/>
            <w:rPr>
              <w:color w:val="auto"/>
            </w:rPr>
            <m:t>s</m:t>
          </m:r>
          <m:r>
            <m:rPr>
              <m:sty m:val="p"/>
            </m:rPr>
            <w:rPr>
              <w:color w:val="auto"/>
            </w:rPr>
            <m:t>≥</m:t>
          </m:r>
          <m:r>
            <m:rPr/>
            <w:rPr>
              <w:color w:val="auto"/>
            </w:rPr>
            <m:t>τ</m:t>
          </m:r>
          <m:r>
            <m:rPr>
              <m:sty m:val="p"/>
            </m:rPr>
            <w:rPr>
              <w:color w:val="auto"/>
            </w:rPr>
            <m:t>),</m:t>
          </m:r>
          <m:r>
            <m:rPr/>
            <w:rPr>
              <w:color w:val="auto"/>
            </w:rPr>
            <m:t>  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d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L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d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U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∨</m:t>
          </m:r>
          <m:r>
            <m:rPr/>
            <w:rPr>
              <w:color w:val="auto"/>
            </w:rPr>
            <m:t>A</m:t>
          </m:r>
          <m:r>
            <m:rPr>
              <m:sty m:val="p"/>
            </m:rPr>
            <w:rPr>
              <w:color w:val="auto"/>
            </w:rPr>
            <m:t>,</m:t>
          </m:r>
          <m:r>
            <m:rPr/>
            <w:rPr>
              <w:color w:val="auto"/>
            </w:rPr>
            <m:t>  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d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C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d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U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∨(</m:t>
          </m:r>
          <m:r>
            <m:rPr/>
            <w:rPr>
              <w:color w:val="auto"/>
            </w:rPr>
            <m:t>A</m:t>
          </m:r>
          <m:r>
            <m:rPr>
              <m:sty m:val="p"/>
            </m:rPr>
            <w:rPr>
              <w:color w:val="auto"/>
            </w:rPr>
            <m:t>∧</m:t>
          </m:r>
          <m:r>
            <m:rPr/>
            <w:rPr>
              <w:color w:val="auto"/>
            </w:rPr>
            <m:t>s</m:t>
          </m:r>
          <m:r>
            <m:rPr>
              <m:sty m:val="p"/>
            </m:rPr>
            <w:rPr>
              <w:color w:val="auto"/>
            </w:rPr>
            <m:t>≥</m:t>
          </m:r>
          <m:r>
            <m:rPr/>
            <w:rPr>
              <w:color w:val="auto"/>
            </w:rPr>
            <m:t>η</m:t>
          </m:r>
          <m:r>
            <m:rPr>
              <m:sty m:val="p"/>
            </m:rPr>
            <w:rPr>
              <w:color w:val="auto"/>
            </w:rPr>
            <m:t>).</m:t>
          </m:r>
        </m:oMath>
      </m:oMathPara>
    </w:p>
    <w:p w14:paraId="6911640D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不锁定仅根据评分决策；硬锁定强制保留结构预警；校准策略要求额外预警获得最低评分支持。参数</w:t>
      </w:r>
      <m:oMath>
        <m:r>
          <m:rPr/>
          <w:rPr>
            <w:color w:val="auto"/>
          </w:rPr>
          <m:t>η</m:t>
        </m:r>
      </m:oMath>
      <w:r>
        <w:rPr>
          <w:rFonts w:hint="eastAsia"/>
          <w:color w:val="auto"/>
        </w:rPr>
        <w:t>只在预设验证扰动中，按</w:t>
      </w:r>
      <m:oMath>
        <m:r>
          <m:rPr>
            <m:sty m:val="p"/>
          </m:rPr>
          <w:rPr>
            <w:color w:val="auto"/>
          </w:rPr>
          <m:t>(</m:t>
        </m:r>
        <m:r>
          <m:rPr/>
          <w:rPr>
            <w:color w:val="auto"/>
          </w:rPr>
          <m:t>FP</m:t>
        </m:r>
        <m:r>
          <m:rPr>
            <m:sty m:val="p"/>
          </m:rPr>
          <w:rPr>
            <w:color w:val="auto"/>
          </w:rPr>
          <m:t>+</m:t>
        </m:r>
        <m:r>
          <m:rPr/>
          <w:rPr>
            <w:color w:val="auto"/>
          </w:rPr>
          <m:t>2FN</m:t>
        </m:r>
        <m:r>
          <m:rPr>
            <m:sty m:val="p"/>
          </m:rPr>
          <w:rPr>
            <w:color w:val="auto"/>
          </w:rPr>
          <m:t>)/</m:t>
        </m:r>
        <m:r>
          <m:rPr/>
          <w:rPr>
            <w:color w:val="auto"/>
          </w:rPr>
          <m:t>N</m:t>
        </m:r>
      </m:oMath>
      <w:r>
        <w:rPr>
          <w:rFonts w:hint="eastAsia"/>
          <w:color w:val="auto"/>
        </w:rPr>
        <w:t>选择。三种方法共用原始评分和结构证明，差别仅在复核行动。即使门控暂缓行动，相应证明仍保存在结果中，不会被改写成“未证明”。</w:t>
      </w:r>
    </w:p>
    <w:p w14:paraId="3933C327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D-S实验使用独立构造的来源，而不把同一组指标产生的Bayes与Mamdani评分冒充独立证据。标准组合将冲突质量</w:t>
      </w:r>
      <m:oMath>
        <m:r>
          <m:rPr/>
          <w:rPr>
            <w:color w:val="auto"/>
          </w:rPr>
          <m:t>K</m:t>
        </m:r>
      </m:oMath>
      <w:r>
        <w:rPr>
          <w:rFonts w:hint="eastAsia"/>
          <w:color w:val="auto"/>
        </w:rPr>
        <w:t>归一化，</w:t>
      </w:r>
      <m:oMath>
        <m:r>
          <m:rPr/>
          <w:rPr>
            <w:color w:val="auto"/>
          </w:rPr>
          <m:t>K</m:t>
        </m:r>
      </m:oMath>
      <w:r>
        <w:rPr>
          <w:rFonts w:hint="eastAsia"/>
          <w:color w:val="auto"/>
        </w:rPr>
        <w:t>接近1时明确返回未定义；Yager规则把冲突转入无知集合[8]。可靠性折扣使用预先指定的来源质量，其有效性依赖来源设定，不能由合成实验推导现实凭证的真实性。</w:t>
      </w:r>
    </w:p>
    <w:bookmarkEnd w:id="12"/>
    <w:p w14:paraId="237CCF50">
      <w:pPr>
        <w:pStyle w:val="11"/>
        <w:keepNext/>
        <w:rPr>
          <w:color w:val="auto"/>
        </w:rPr>
      </w:pPr>
      <w:bookmarkStart w:id="13" w:name="可复现的系统实现"/>
      <w:r>
        <w:rPr>
          <w:color w:val="auto"/>
        </w:rPr>
        <w:t xml:space="preserve">4.3 </w:t>
      </w:r>
      <w:r>
        <w:rPr>
          <w:rFonts w:hint="eastAsia"/>
          <w:color w:val="auto"/>
        </w:rPr>
        <w:t>可复现的系统实现</w:t>
      </w:r>
    </w:p>
    <w:p w14:paraId="4A096BF4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知识表示、实验算法、接口和前端分模块实现。命令行、网页与图级实验共用prepare_case和assess_company，保持计算路径一致。最小调用示例如下：</w:t>
      </w:r>
    </w:p>
    <w:p w14:paraId="1F2DEE96">
      <w:pPr>
        <w:pStyle w:val="16"/>
        <w:keepLines/>
        <w:spacing w:after="0" w:line="252" w:lineRule="auto"/>
        <w:ind w:firstLine="0"/>
        <w:rPr>
          <w:color w:val="auto"/>
        </w:rPr>
      </w:pPr>
      <w:r>
        <w:rPr>
          <w:rStyle w:val="28"/>
          <w:rFonts w:ascii="Consolas" w:hAnsi="Consolas" w:eastAsia="微软雅黑"/>
          <w:b w:val="0"/>
          <w:color w:val="auto"/>
          <w:sz w:val="17"/>
        </w:rPr>
        <w:t>from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core.kb.domain </w:t>
      </w:r>
      <w:r>
        <w:rPr>
          <w:rStyle w:val="28"/>
          <w:rFonts w:ascii="Consolas" w:hAnsi="Consolas" w:eastAsia="微软雅黑"/>
          <w:b w:val="0"/>
          <w:color w:val="auto"/>
          <w:sz w:val="17"/>
        </w:rPr>
        <w:t>import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demo_case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28"/>
          <w:rFonts w:ascii="Consolas" w:hAnsi="Consolas" w:eastAsia="微软雅黑"/>
          <w:b w:val="0"/>
          <w:color w:val="auto"/>
          <w:sz w:val="17"/>
        </w:rPr>
        <w:t>from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experiments.lab02.hybrid.model </w:t>
      </w:r>
      <w:r>
        <w:rPr>
          <w:rStyle w:val="28"/>
          <w:rFonts w:ascii="Consolas" w:hAnsi="Consolas" w:eastAsia="微软雅黑"/>
          <w:b w:val="0"/>
          <w:color w:val="auto"/>
          <w:sz w:val="17"/>
        </w:rPr>
        <w:t>import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HybridModel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28"/>
          <w:rFonts w:ascii="Consolas" w:hAnsi="Consolas" w:eastAsia="微软雅黑"/>
          <w:b w:val="0"/>
          <w:color w:val="auto"/>
          <w:sz w:val="17"/>
        </w:rPr>
        <w:t>from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experiments.lab02.hybrid.pipeline </w:t>
      </w:r>
      <w:r>
        <w:rPr>
          <w:rStyle w:val="28"/>
          <w:rFonts w:ascii="Consolas" w:hAnsi="Consolas" w:eastAsia="微软雅黑"/>
          <w:b w:val="0"/>
          <w:color w:val="auto"/>
          <w:sz w:val="17"/>
        </w:rPr>
        <w:t>import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prepare_case, assess_company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context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=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prepare_case(demo_case())  </w:t>
      </w:r>
      <w:r>
        <w:rPr>
          <w:rStyle w:val="29"/>
          <w:rFonts w:ascii="Consolas" w:hAnsi="Consolas" w:eastAsia="微软雅黑"/>
          <w:b w:val="0"/>
          <w:color w:val="auto"/>
          <w:sz w:val="17"/>
        </w:rPr>
        <w:t># 先建立事实、闭包和共同指标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model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=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HybridModel()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result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=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assess_company(context, </w:t>
      </w:r>
      <w:r>
        <w:rPr>
          <w:rStyle w:val="25"/>
          <w:rFonts w:ascii="Consolas" w:hAnsi="Consolas" w:eastAsia="微软雅黑"/>
          <w:b w:val="0"/>
          <w:color w:val="auto"/>
          <w:sz w:val="17"/>
        </w:rPr>
        <w:t>"C3"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, model,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   method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=</w:t>
      </w:r>
      <w:r>
        <w:rPr>
          <w:rStyle w:val="25"/>
          <w:rFonts w:ascii="Consolas" w:hAnsi="Consolas" w:eastAsia="微软雅黑"/>
          <w:b w:val="0"/>
          <w:color w:val="auto"/>
          <w:sz w:val="17"/>
        </w:rPr>
        <w:t>"hybrid_calibrated"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, include_explanation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=</w:t>
      </w:r>
      <w:r>
        <w:rPr>
          <w:rStyle w:val="35"/>
          <w:rFonts w:ascii="Consolas" w:hAnsi="Consolas" w:eastAsia="微软雅黑"/>
          <w:b w:val="0"/>
          <w:color w:val="auto"/>
          <w:sz w:val="17"/>
        </w:rPr>
        <w:t>True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)</w:t>
      </w:r>
    </w:p>
    <w:p w14:paraId="0D630AA2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模型保存CPT、模糊参数、权重与复核策略，兼容两种归档版本并验证重载一致性。网页采用有时限的隔离进程，编辑不回写原始CSV。路径相对于项目定位，可独立构建前端、生成模型和图表。</w:t>
      </w:r>
    </w:p>
    <w:bookmarkEnd w:id="10"/>
    <w:bookmarkEnd w:id="13"/>
    <w:p w14:paraId="5CFDFE2B">
      <w:pPr>
        <w:pStyle w:val="10"/>
        <w:keepNext/>
        <w:rPr>
          <w:color w:val="auto"/>
        </w:rPr>
      </w:pPr>
      <w:bookmarkStart w:id="14" w:name="实验设计与评价方法"/>
      <w:r>
        <w:rPr>
          <w:color w:val="auto"/>
        </w:rPr>
        <w:t xml:space="preserve">5 </w:t>
      </w:r>
      <w:r>
        <w:rPr>
          <w:rFonts w:hint="eastAsia"/>
          <w:color w:val="auto"/>
        </w:rPr>
        <w:t>实验设计与评价方法</w:t>
      </w:r>
    </w:p>
    <w:p w14:paraId="04A9F3A4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实验采用Windows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64位、Intel</w:t>
      </w:r>
      <w:r>
        <w:rPr>
          <w:color w:val="auto"/>
        </w:rPr>
        <w:t xml:space="preserve"> Core </w:t>
      </w:r>
      <w:r>
        <w:rPr>
          <w:rFonts w:hint="eastAsia"/>
          <w:color w:val="auto"/>
        </w:rPr>
        <w:t>i5-13500H和Python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3.13.9，核心推理使用标准库，Matplotlib负责绘图。本文统一引用同批壁钟实测，耗时受机器负载影响。</w:t>
      </w:r>
    </w:p>
    <w:p w14:paraId="4D2F5FC7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指标实验使用随机种子7、19、43，每个种子分别生成1000个训练样本、300个验证样本、600个独立测试样本。测试设置清洁、三档噪声、两档缺测、混合及重度扰动共8种条件。各模型在相同扰动样本上比较，模型参数在测试前冻结。重度条件为噪声标准差0.35、缺测率40%。敏感性扫描用于诊断参数影响，不据此回头选择测试表现最好的参数。</w:t>
      </w:r>
    </w:p>
    <w:p w14:paraId="101140B5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图级实验每个种子包含200张训练图、80张验证图和120张测试图，比较6种观测条件及11种方法，产生23760条方法预测。复核需求标签在业务图生成前确定，模型只接收观测图及资料完整性标志，不能读取干净图、真实标签或扰动审计标志。确定性基准采用1、4、8、16组扩展结构，每种方法重复3次，并先比较答案，再比较时间。</w:t>
      </w:r>
    </w:p>
    <w:p w14:paraId="4CD9498D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分类评价报告准确率、精确率、召回率及</w:t>
      </w:r>
      <m:oMath>
        <m:r>
          <m:rPr/>
          <w:rPr>
            <w:color w:val="auto"/>
          </w:rPr>
          <m:t>F1</m:t>
        </m:r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2PR</m:t>
        </m:r>
        <m:r>
          <m:rPr>
            <m:sty m:val="p"/>
          </m:rPr>
          <w:rPr>
            <w:color w:val="auto"/>
          </w:rPr>
          <m:t>/(</m:t>
        </m:r>
        <m:r>
          <m:rPr/>
          <w:rPr>
            <w:color w:val="auto"/>
          </w:rPr>
          <m:t>P</m:t>
        </m:r>
        <m:r>
          <m:rPr>
            <m:sty m:val="p"/>
          </m:rPr>
          <w:rPr>
            <w:color w:val="auto"/>
          </w:rPr>
          <m:t>+</m:t>
        </m:r>
        <m:r>
          <m:rPr/>
          <w:rPr>
            <w:color w:val="auto"/>
          </w:rPr>
          <m:t>R</m:t>
        </m:r>
        <m:r>
          <m:rPr>
            <m:sty m:val="p"/>
          </m:rPr>
          <w:rPr>
            <w:color w:val="auto"/>
          </w:rPr>
          <m:t>)</m:t>
        </m:r>
      </m:oMath>
      <w:r>
        <w:rPr>
          <w:rFonts w:hint="eastAsia"/>
          <w:color w:val="auto"/>
        </w:rPr>
        <w:t>。误报率定义为</w:t>
      </w:r>
      <m:oMath>
        <m:r>
          <m:rPr/>
          <w:rPr>
            <w:color w:val="auto"/>
          </w:rPr>
          <m:t>FP</m:t>
        </m:r>
        <m:r>
          <m:rPr>
            <m:sty m:val="p"/>
          </m:rPr>
          <w:rPr>
            <w:color w:val="auto"/>
          </w:rPr>
          <m:t>/(</m:t>
        </m:r>
        <m:r>
          <m:rPr/>
          <w:rPr>
            <w:color w:val="auto"/>
          </w:rPr>
          <m:t>FP</m:t>
        </m:r>
        <m:r>
          <m:rPr>
            <m:sty m:val="p"/>
          </m:rPr>
          <w:rPr>
            <w:color w:val="auto"/>
          </w:rPr>
          <m:t>+</m:t>
        </m:r>
        <m:r>
          <m:rPr/>
          <w:rPr>
            <w:color w:val="auto"/>
          </w:rPr>
          <m:t>TN</m:t>
        </m:r>
        <m:r>
          <m:rPr>
            <m:sty m:val="p"/>
          </m:rPr>
          <w:rPr>
            <w:color w:val="auto"/>
          </w:rPr>
          <m:t>)</m:t>
        </m:r>
      </m:oMath>
      <w:r>
        <w:rPr>
          <w:rFonts w:hint="eastAsia"/>
          <w:color w:val="auto"/>
        </w:rPr>
        <w:t>，分母是负例数量；Brier为平均平方评分误差，对模糊与混合方法仅作为评分损失，不表示已得到校准概率。图级分类指标使用最终行动，评分误差使用原始分数。本文报告种子间均值，误差条为样本标准差，不将重复样本或多个扰动条件当作独立随机种子，也不作显著性结论。</w:t>
      </w:r>
    </w:p>
    <w:bookmarkEnd w:id="14"/>
    <w:p w14:paraId="2E5FB826">
      <w:pPr>
        <w:pStyle w:val="10"/>
        <w:keepNext/>
        <w:rPr>
          <w:color w:val="auto"/>
        </w:rPr>
      </w:pPr>
      <w:bookmarkStart w:id="15" w:name="实验结果与分析"/>
      <w:r>
        <w:rPr>
          <w:color w:val="auto"/>
        </w:rPr>
        <w:t xml:space="preserve">6 </w:t>
      </w:r>
      <w:r>
        <w:rPr>
          <w:rFonts w:hint="eastAsia"/>
          <w:color w:val="auto"/>
        </w:rPr>
        <w:t>实验结果与分析</w:t>
      </w:r>
    </w:p>
    <w:p w14:paraId="13F903A7">
      <w:pPr>
        <w:pStyle w:val="11"/>
        <w:keepNext/>
        <w:rPr>
          <w:color w:val="auto"/>
        </w:rPr>
      </w:pPr>
      <w:bookmarkStart w:id="16" w:name="确定性推理的效率与一致性"/>
      <w:r>
        <w:rPr>
          <w:color w:val="auto"/>
        </w:rPr>
        <w:t xml:space="preserve">6.1 </w:t>
      </w:r>
      <w:r>
        <w:rPr>
          <w:rFonts w:hint="eastAsia"/>
          <w:color w:val="auto"/>
        </w:rPr>
        <w:t>确定性推理的效率与一致性</w:t>
      </w:r>
    </w:p>
    <w:p w14:paraId="65E749C7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16组结构下，三种正向方法均得到3031条事实，新增事实过程均为20轮。表2显示，索引朴素平均耗时1062.37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ms，半朴素为181.41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ms，相对加速5.86倍；候选检查从84734次下降至8413次。这表明收益主要来自增量连接减少重复匹配，而不是少算事实或提前截断。图1同时展示规模增长与搜索工作量，避免仅凭最大规模给出一般化结论。</w:t>
      </w:r>
    </w:p>
    <w:p w14:paraId="5433E36D">
      <w:pPr>
        <w:pStyle w:val="8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表2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16组结构的完整闭包基准（三次重复，均值±标准差）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268"/>
        <w:gridCol w:w="1729"/>
        <w:gridCol w:w="1502"/>
        <w:gridCol w:w="1502"/>
      </w:tblGrid>
      <w:tr w14:paraId="1BCA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4" w:type="dxa"/>
            <w:shd w:val="clear" w:color="auto" w:fill="auto"/>
          </w:tcPr>
          <w:p w14:paraId="30B18D3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方法</w:t>
            </w:r>
          </w:p>
        </w:tc>
        <w:tc>
          <w:tcPr>
            <w:tcW w:w="2268" w:type="dxa"/>
            <w:shd w:val="clear" w:color="auto" w:fill="auto"/>
          </w:tcPr>
          <w:p w14:paraId="4930A3E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平均耗时／ms</w:t>
            </w:r>
          </w:p>
        </w:tc>
        <w:tc>
          <w:tcPr>
            <w:tcW w:w="1729" w:type="dxa"/>
            <w:shd w:val="clear" w:color="auto" w:fill="auto"/>
          </w:tcPr>
          <w:p w14:paraId="0578AB92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候选检查次数</w:t>
            </w:r>
          </w:p>
        </w:tc>
        <w:tc>
          <w:tcPr>
            <w:tcW w:w="1502" w:type="dxa"/>
            <w:shd w:val="clear" w:color="auto" w:fill="auto"/>
          </w:tcPr>
          <w:p w14:paraId="0E30F291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迭代轮数</w:t>
            </w:r>
          </w:p>
        </w:tc>
        <w:tc>
          <w:tcPr>
            <w:tcW w:w="1502" w:type="dxa"/>
            <w:shd w:val="clear" w:color="auto" w:fill="auto"/>
          </w:tcPr>
          <w:p w14:paraId="69DD4C4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事实数</w:t>
            </w:r>
          </w:p>
        </w:tc>
      </w:tr>
      <w:tr w14:paraId="4533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shd w:val="clear" w:color="auto" w:fill="auto"/>
          </w:tcPr>
          <w:p w14:paraId="0237669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全扫描</w:t>
            </w:r>
          </w:p>
        </w:tc>
        <w:tc>
          <w:tcPr>
            <w:tcW w:w="2268" w:type="dxa"/>
            <w:shd w:val="clear" w:color="auto" w:fill="auto"/>
          </w:tcPr>
          <w:p w14:paraId="59DC1B3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49921.77±1762.22</w:t>
            </w:r>
          </w:p>
        </w:tc>
        <w:tc>
          <w:tcPr>
            <w:tcW w:w="1729" w:type="dxa"/>
            <w:shd w:val="clear" w:color="auto" w:fill="auto"/>
          </w:tcPr>
          <w:p w14:paraId="3E1AE1B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149,338,488</w:t>
            </w:r>
          </w:p>
        </w:tc>
        <w:tc>
          <w:tcPr>
            <w:tcW w:w="1502" w:type="dxa"/>
            <w:shd w:val="clear" w:color="auto" w:fill="auto"/>
          </w:tcPr>
          <w:p w14:paraId="477A19E4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</w:t>
            </w:r>
          </w:p>
        </w:tc>
        <w:tc>
          <w:tcPr>
            <w:tcW w:w="1502" w:type="dxa"/>
            <w:shd w:val="clear" w:color="auto" w:fill="auto"/>
          </w:tcPr>
          <w:p w14:paraId="62DD840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3031</w:t>
            </w:r>
          </w:p>
        </w:tc>
      </w:tr>
      <w:tr w14:paraId="3DC6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shd w:val="clear" w:color="auto" w:fill="auto"/>
          </w:tcPr>
          <w:p w14:paraId="5F13B7C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索引朴素</w:t>
            </w:r>
          </w:p>
        </w:tc>
        <w:tc>
          <w:tcPr>
            <w:tcW w:w="2268" w:type="dxa"/>
            <w:shd w:val="clear" w:color="auto" w:fill="auto"/>
          </w:tcPr>
          <w:p w14:paraId="784134B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1062.37±16.44</w:t>
            </w:r>
          </w:p>
        </w:tc>
        <w:tc>
          <w:tcPr>
            <w:tcW w:w="1729" w:type="dxa"/>
            <w:shd w:val="clear" w:color="auto" w:fill="auto"/>
          </w:tcPr>
          <w:p w14:paraId="3D9781A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84,734</w:t>
            </w:r>
          </w:p>
        </w:tc>
        <w:tc>
          <w:tcPr>
            <w:tcW w:w="1502" w:type="dxa"/>
            <w:shd w:val="clear" w:color="auto" w:fill="auto"/>
          </w:tcPr>
          <w:p w14:paraId="6C08078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</w:t>
            </w:r>
          </w:p>
        </w:tc>
        <w:tc>
          <w:tcPr>
            <w:tcW w:w="1502" w:type="dxa"/>
            <w:shd w:val="clear" w:color="auto" w:fill="auto"/>
          </w:tcPr>
          <w:p w14:paraId="0A20810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3031</w:t>
            </w:r>
          </w:p>
        </w:tc>
      </w:tr>
      <w:tr w14:paraId="27C5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shd w:val="clear" w:color="auto" w:fill="auto"/>
          </w:tcPr>
          <w:p w14:paraId="2ED61FD2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半朴素</w:t>
            </w:r>
          </w:p>
        </w:tc>
        <w:tc>
          <w:tcPr>
            <w:tcW w:w="2268" w:type="dxa"/>
            <w:shd w:val="clear" w:color="auto" w:fill="auto"/>
          </w:tcPr>
          <w:p w14:paraId="459AC23E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181.41±2.49</w:t>
            </w:r>
          </w:p>
        </w:tc>
        <w:tc>
          <w:tcPr>
            <w:tcW w:w="1729" w:type="dxa"/>
            <w:shd w:val="clear" w:color="auto" w:fill="auto"/>
          </w:tcPr>
          <w:p w14:paraId="44A75F55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8,413</w:t>
            </w:r>
          </w:p>
        </w:tc>
        <w:tc>
          <w:tcPr>
            <w:tcW w:w="1502" w:type="dxa"/>
            <w:shd w:val="clear" w:color="auto" w:fill="auto"/>
          </w:tcPr>
          <w:p w14:paraId="2875491F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</w:t>
            </w:r>
          </w:p>
        </w:tc>
        <w:tc>
          <w:tcPr>
            <w:tcW w:w="1502" w:type="dxa"/>
            <w:shd w:val="clear" w:color="auto" w:fill="auto"/>
          </w:tcPr>
          <w:p w14:paraId="132748EA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3031</w:t>
            </w:r>
          </w:p>
        </w:tc>
      </w:tr>
    </w:tbl>
    <w:p w14:paraId="63A07764">
      <w:pPr>
        <w:keepNext/>
        <w:ind w:firstLine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2273935"/>
            <wp:effectExtent l="0" t="0" r="0" b="0"/>
            <wp:docPr id="25" name="Picture" descr="图1　不同结构规模的实测耗时及16组结构的候选检查次数。耗时轴采用对数刻度，三种方法的完整闭包一致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图1　不同结构规模的实测耗时及16组结构的候选检查次数。耗时轴采用对数刻度，三种方法的完整闭包一致。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99" cy="22740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F7F49F">
      <w:pPr>
        <w:pStyle w:val="14"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图1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不同结构规模的实测耗时及16组结构的候选检查次数。耗时轴采用对数刻度，三种方法的完整闭包一致。</w:t>
      </w:r>
    </w:p>
    <w:p w14:paraId="120D4826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目标切片将27条规则缩减为8条，在16组结构中保留64个Controls答案；其较小工作记忆仅服务于目标查询，不能与完整闭包直接等同。独立归结基准的配对子句数由104986降为457，优化前后均输出25步证明；三次平均耗时由8652.48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ms降至453.95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ms。两类优化分别体现查询相关性与搜索组织的价值。</w:t>
      </w:r>
    </w:p>
    <w:bookmarkEnd w:id="16"/>
    <w:p w14:paraId="7DF6F507">
      <w:pPr>
        <w:pStyle w:val="11"/>
        <w:keepNext/>
        <w:rPr>
          <w:color w:val="auto"/>
        </w:rPr>
      </w:pPr>
      <w:bookmarkStart w:id="17" w:name="参数学习扰动与消融"/>
      <w:r>
        <w:rPr>
          <w:color w:val="auto"/>
        </w:rPr>
        <w:t xml:space="preserve">6.2 </w:t>
      </w:r>
      <w:r>
        <w:rPr>
          <w:rFonts w:hint="eastAsia"/>
          <w:color w:val="auto"/>
        </w:rPr>
        <w:t>参数学习、扰动与消融</w:t>
      </w:r>
    </w:p>
    <w:p w14:paraId="3C80AC09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学习Bayes的清洁F1由0.7767提高到0.8575，Brier由0.0878降至0.0707，说明训练数据估计的参数比本例手工参数更匹配测试分布。拟合Mamdani的清洁F1由0.7000提高到0.7053，改善较小；重度扰动时，拟合后的F1为0.6091，略低于手工模型0.6109，不能把训练拟合收益直接解释为抗干扰提升。</w:t>
      </w:r>
    </w:p>
    <w:p w14:paraId="49E760FF">
      <w:pPr>
        <w:pStyle w:val="8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表3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指标层方法比较（三个种子均值）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474"/>
        <w:gridCol w:w="1474"/>
        <w:gridCol w:w="1474"/>
        <w:gridCol w:w="1474"/>
      </w:tblGrid>
      <w:tr w14:paraId="3466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auto"/>
          </w:tcPr>
          <w:p w14:paraId="44C4F5E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方法</w:t>
            </w:r>
          </w:p>
        </w:tc>
        <w:tc>
          <w:tcPr>
            <w:tcW w:w="1474" w:type="dxa"/>
            <w:shd w:val="clear" w:color="auto" w:fill="auto"/>
          </w:tcPr>
          <w:p w14:paraId="1341513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清洁F1</w:t>
            </w:r>
          </w:p>
        </w:tc>
        <w:tc>
          <w:tcPr>
            <w:tcW w:w="1474" w:type="dxa"/>
            <w:shd w:val="clear" w:color="auto" w:fill="auto"/>
          </w:tcPr>
          <w:p w14:paraId="6DF1668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清洁Brier</w:t>
            </w:r>
          </w:p>
        </w:tc>
        <w:tc>
          <w:tcPr>
            <w:tcW w:w="1474" w:type="dxa"/>
            <w:shd w:val="clear" w:color="auto" w:fill="auto"/>
          </w:tcPr>
          <w:p w14:paraId="659586B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重度F1</w:t>
            </w:r>
          </w:p>
        </w:tc>
        <w:tc>
          <w:tcPr>
            <w:tcW w:w="1474" w:type="dxa"/>
            <w:shd w:val="clear" w:color="auto" w:fill="auto"/>
          </w:tcPr>
          <w:p w14:paraId="1E870464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清洁耗时／μs</w:t>
            </w:r>
          </w:p>
        </w:tc>
      </w:tr>
      <w:tr w14:paraId="279A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47F6FA5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手工Bayes</w:t>
            </w:r>
          </w:p>
        </w:tc>
        <w:tc>
          <w:tcPr>
            <w:tcW w:w="1474" w:type="dxa"/>
            <w:shd w:val="clear" w:color="auto" w:fill="auto"/>
          </w:tcPr>
          <w:p w14:paraId="3039780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0.7767</w:t>
            </w:r>
          </w:p>
        </w:tc>
        <w:tc>
          <w:tcPr>
            <w:tcW w:w="1474" w:type="dxa"/>
            <w:shd w:val="clear" w:color="auto" w:fill="auto"/>
          </w:tcPr>
          <w:p w14:paraId="65200C5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0.0878</w:t>
            </w:r>
          </w:p>
        </w:tc>
        <w:tc>
          <w:tcPr>
            <w:tcW w:w="1474" w:type="dxa"/>
            <w:shd w:val="clear" w:color="auto" w:fill="auto"/>
          </w:tcPr>
          <w:p w14:paraId="1098519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0.5302</w:t>
            </w:r>
          </w:p>
        </w:tc>
        <w:tc>
          <w:tcPr>
            <w:tcW w:w="1474" w:type="dxa"/>
            <w:shd w:val="clear" w:color="auto" w:fill="auto"/>
          </w:tcPr>
          <w:p w14:paraId="56EC5DB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6.44</w:t>
            </w:r>
          </w:p>
        </w:tc>
      </w:tr>
      <w:tr w14:paraId="6F81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1D5D9062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学习Bayes</w:t>
            </w:r>
          </w:p>
        </w:tc>
        <w:tc>
          <w:tcPr>
            <w:tcW w:w="1474" w:type="dxa"/>
            <w:shd w:val="clear" w:color="auto" w:fill="auto"/>
          </w:tcPr>
          <w:p w14:paraId="361CDF8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0.8575</w:t>
            </w:r>
          </w:p>
        </w:tc>
        <w:tc>
          <w:tcPr>
            <w:tcW w:w="1474" w:type="dxa"/>
            <w:shd w:val="clear" w:color="auto" w:fill="auto"/>
          </w:tcPr>
          <w:p w14:paraId="2E49579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0.0707</w:t>
            </w:r>
          </w:p>
        </w:tc>
        <w:tc>
          <w:tcPr>
            <w:tcW w:w="1474" w:type="dxa"/>
            <w:shd w:val="clear" w:color="auto" w:fill="auto"/>
          </w:tcPr>
          <w:p w14:paraId="2FAC5980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0.6174</w:t>
            </w:r>
          </w:p>
        </w:tc>
        <w:tc>
          <w:tcPr>
            <w:tcW w:w="1474" w:type="dxa"/>
            <w:shd w:val="clear" w:color="auto" w:fill="auto"/>
          </w:tcPr>
          <w:p w14:paraId="69FABCA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6.71</w:t>
            </w:r>
          </w:p>
        </w:tc>
      </w:tr>
      <w:tr w14:paraId="1A64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7C2414A2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手工Mamdani</w:t>
            </w:r>
          </w:p>
        </w:tc>
        <w:tc>
          <w:tcPr>
            <w:tcW w:w="1474" w:type="dxa"/>
            <w:shd w:val="clear" w:color="auto" w:fill="auto"/>
          </w:tcPr>
          <w:p w14:paraId="171515D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0.7000</w:t>
            </w:r>
          </w:p>
        </w:tc>
        <w:tc>
          <w:tcPr>
            <w:tcW w:w="1474" w:type="dxa"/>
            <w:shd w:val="clear" w:color="auto" w:fill="auto"/>
          </w:tcPr>
          <w:p w14:paraId="0A861EA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0.2156</w:t>
            </w:r>
          </w:p>
        </w:tc>
        <w:tc>
          <w:tcPr>
            <w:tcW w:w="1474" w:type="dxa"/>
            <w:shd w:val="clear" w:color="auto" w:fill="auto"/>
          </w:tcPr>
          <w:p w14:paraId="23E53A2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0.6109</w:t>
            </w:r>
          </w:p>
        </w:tc>
        <w:tc>
          <w:tcPr>
            <w:tcW w:w="1474" w:type="dxa"/>
            <w:shd w:val="clear" w:color="auto" w:fill="auto"/>
          </w:tcPr>
          <w:p w14:paraId="06DC455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258.48</w:t>
            </w:r>
          </w:p>
        </w:tc>
      </w:tr>
      <w:tr w14:paraId="3044C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6E886B7C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拟合Mamdani</w:t>
            </w:r>
          </w:p>
        </w:tc>
        <w:tc>
          <w:tcPr>
            <w:tcW w:w="1474" w:type="dxa"/>
            <w:shd w:val="clear" w:color="auto" w:fill="auto"/>
          </w:tcPr>
          <w:p w14:paraId="6C4F2FF0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0.7053</w:t>
            </w:r>
          </w:p>
        </w:tc>
        <w:tc>
          <w:tcPr>
            <w:tcW w:w="1474" w:type="dxa"/>
            <w:shd w:val="clear" w:color="auto" w:fill="auto"/>
          </w:tcPr>
          <w:p w14:paraId="15EF2D9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0.2121</w:t>
            </w:r>
          </w:p>
        </w:tc>
        <w:tc>
          <w:tcPr>
            <w:tcW w:w="1474" w:type="dxa"/>
            <w:shd w:val="clear" w:color="auto" w:fill="auto"/>
          </w:tcPr>
          <w:p w14:paraId="7FE10452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0.6091</w:t>
            </w:r>
          </w:p>
        </w:tc>
        <w:tc>
          <w:tcPr>
            <w:tcW w:w="1474" w:type="dxa"/>
            <w:shd w:val="clear" w:color="auto" w:fill="auto"/>
          </w:tcPr>
          <w:p w14:paraId="3699A81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245.80</w:t>
            </w:r>
          </w:p>
        </w:tc>
      </w:tr>
      <w:tr w14:paraId="2FE5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05FEBA5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固定混合</w:t>
            </w:r>
          </w:p>
        </w:tc>
        <w:tc>
          <w:tcPr>
            <w:tcW w:w="1474" w:type="dxa"/>
            <w:shd w:val="clear" w:color="auto" w:fill="auto"/>
          </w:tcPr>
          <w:p w14:paraId="7F5C47E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0.8720</w:t>
            </w:r>
          </w:p>
        </w:tc>
        <w:tc>
          <w:tcPr>
            <w:tcW w:w="1474" w:type="dxa"/>
            <w:shd w:val="clear" w:color="auto" w:fill="auto"/>
          </w:tcPr>
          <w:p w14:paraId="1FB309F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0.0923</w:t>
            </w:r>
          </w:p>
        </w:tc>
        <w:tc>
          <w:tcPr>
            <w:tcW w:w="1474" w:type="dxa"/>
            <w:shd w:val="clear" w:color="auto" w:fill="auto"/>
          </w:tcPr>
          <w:p w14:paraId="1898B4D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0.6400</w:t>
            </w:r>
          </w:p>
        </w:tc>
        <w:tc>
          <w:tcPr>
            <w:tcW w:w="1474" w:type="dxa"/>
            <w:shd w:val="clear" w:color="auto" w:fill="auto"/>
          </w:tcPr>
          <w:p w14:paraId="2A590E5C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601.25</w:t>
            </w:r>
          </w:p>
        </w:tc>
      </w:tr>
      <w:tr w14:paraId="25A4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shd w:val="clear" w:color="auto" w:fill="auto"/>
          </w:tcPr>
          <w:p w14:paraId="426ACA69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自适应混合</w:t>
            </w:r>
          </w:p>
        </w:tc>
        <w:tc>
          <w:tcPr>
            <w:tcW w:w="1474" w:type="dxa"/>
            <w:shd w:val="clear" w:color="auto" w:fill="auto"/>
          </w:tcPr>
          <w:p w14:paraId="3FE23B1C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0.8575</w:t>
            </w:r>
          </w:p>
        </w:tc>
        <w:tc>
          <w:tcPr>
            <w:tcW w:w="1474" w:type="dxa"/>
            <w:shd w:val="clear" w:color="auto" w:fill="auto"/>
          </w:tcPr>
          <w:p w14:paraId="4E311E5F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0.0707</w:t>
            </w:r>
          </w:p>
        </w:tc>
        <w:tc>
          <w:tcPr>
            <w:tcW w:w="1474" w:type="dxa"/>
            <w:shd w:val="clear" w:color="auto" w:fill="auto"/>
          </w:tcPr>
          <w:p w14:paraId="659E7CF1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0.6174</w:t>
            </w:r>
          </w:p>
        </w:tc>
        <w:tc>
          <w:tcPr>
            <w:tcW w:w="1474" w:type="dxa"/>
            <w:shd w:val="clear" w:color="auto" w:fill="auto"/>
          </w:tcPr>
          <w:p w14:paraId="7A3DA854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6.22</w:t>
            </w:r>
          </w:p>
        </w:tc>
      </w:tr>
    </w:tbl>
    <w:p w14:paraId="47AA6AD6">
      <w:pPr>
        <w:keepNext/>
        <w:ind w:firstLine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2238375"/>
            <wp:effectExtent l="0" t="0" r="0" b="0"/>
            <wp:docPr id="29" name="Picture" descr="图2　Bayes与Mamdani在噪声、缺测和混合扰动下的F1。曲线使用同一批配对测试样本，误差条为三个种子的标准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图2　Bayes与Mamdani在噪声、缺测和混合扰动下的F1。曲线使用同一批配对测试样本，误差条为三个种子的标准差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999" cy="22385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C256BD">
      <w:pPr>
        <w:pStyle w:val="14"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图2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Bayes与Mamdani在噪声、缺测和混合扰动下的F1。曲线使用同一批配对测试样本，误差条为三个种子的标准差。</w:t>
      </w:r>
    </w:p>
    <w:p w14:paraId="7533CE51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学习Bayes和拟合Mamdani的清洁平均预测耗时分别为6.71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μs和245.80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μs。星形Bayes在已观测特征上累加似然比，评分代价随特征数增长；一般贝叶斯网络仍可能因消元宽度增大而产生指数开销。Mamdani需要计算隶属度并聚合101个输出网格点，本实现计算量更大。极小耗时差异还受到测量波动影响，不据此对近似相同的方法作稳定速度排名。</w:t>
      </w:r>
    </w:p>
    <w:p w14:paraId="71DC7632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固定混合的清洁F1为0.8720，高于学习Bayes，但Brier为0.0923，反而较差。由于权重选择优化的是Brier，而非固定阈值下的F1，自适应混合在三个种子中均选择纯Bayes权重。这不是程序遗漏了融合，而是当前验证准则的实际结果。18条消融操作中，12条移除零权重组件后不变，6条在唯一正权重被移除后显式回退为预设基线；后者是替代基线对照，不能声称测得了融合组件的边际贡献。</w:t>
      </w:r>
    </w:p>
    <w:p w14:paraId="3ABDED25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参数敏感性也支持保留边界解释。先验从0.10调至0.40时，平均F1由0.7760升至0.8717，但继续提高并未持续改善。正类CPT统一偏移和模糊高隶属起点同样影响决策边界，如图3所示。测试集扫描揭示依赖程度，并不构成重新调参的依据。噪声与40%缺测叠加时，学习Bayes的F1降至0.6174，说明更合适的清洁参数仍无法抵消严重信息损失。</w:t>
      </w:r>
    </w:p>
    <w:p w14:paraId="198C5B87">
      <w:pPr>
        <w:keepNext/>
        <w:ind w:firstLine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1990090"/>
            <wp:effectExtent l="0" t="0" r="0" b="0"/>
            <wp:docPr id="32" name="Picture" descr="图3　先验、正类CPT偏移和模糊高隶属起点的敏感性。各扫描保持其他设置不变，仅用于事后诊断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图3　先验、正类CPT偏移和模糊高隶属起点的敏感性。各扫描保持其他设置不变，仅用于事后诊断。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999" cy="199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C7FED">
      <w:pPr>
        <w:pStyle w:val="14"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图3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先验、正类CPT偏移和模糊高隶属起点的敏感性。各扫描保持其他设置不变，仅用于事后诊断。</w:t>
      </w:r>
    </w:p>
    <w:bookmarkEnd w:id="17"/>
    <w:p w14:paraId="287F97CC">
      <w:pPr>
        <w:pStyle w:val="11"/>
        <w:keepNext/>
        <w:rPr>
          <w:color w:val="auto"/>
        </w:rPr>
      </w:pPr>
      <w:bookmarkStart w:id="18" w:name="混合策略的收益与代价"/>
      <w:r>
        <w:rPr>
          <w:color w:val="auto"/>
        </w:rPr>
        <w:t xml:space="preserve">6.3 </w:t>
      </w:r>
      <w:r>
        <w:rPr>
          <w:rFonts w:hint="eastAsia"/>
          <w:color w:val="auto"/>
        </w:rPr>
        <w:t>混合策略的收益与代价</w:t>
      </w:r>
    </w:p>
    <w:p w14:paraId="25FC4ED7">
      <w:pPr>
        <w:pStyle w:val="9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4使用同一个自适应评分模型，改变的仅是最终行动策略。20%错误闭环下，硬锁定的召回率为87.71%，高于不锁定的79.89%，但误报率由21.01%升至43.94%。原因是错误输入也会形成逻辑上可重放的预警，硬锁定把这种预警强制转成复核行动。</w:t>
      </w:r>
    </w:p>
    <w:p w14:paraId="69C281F8">
      <w:pPr>
        <w:pStyle w:val="8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表4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共用自适应评分的图级策略比较（三个种子均值）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96"/>
        <w:gridCol w:w="1587"/>
        <w:gridCol w:w="1587"/>
        <w:gridCol w:w="1587"/>
      </w:tblGrid>
      <w:tr w14:paraId="5D82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auto"/>
          </w:tcPr>
          <w:p w14:paraId="069CA84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条件</w:t>
            </w:r>
          </w:p>
        </w:tc>
        <w:tc>
          <w:tcPr>
            <w:tcW w:w="2296" w:type="dxa"/>
            <w:shd w:val="clear" w:color="auto" w:fill="auto"/>
          </w:tcPr>
          <w:p w14:paraId="6B82A4BB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行动策略</w:t>
            </w:r>
          </w:p>
        </w:tc>
        <w:tc>
          <w:tcPr>
            <w:tcW w:w="1587" w:type="dxa"/>
            <w:shd w:val="clear" w:color="auto" w:fill="auto"/>
          </w:tcPr>
          <w:p w14:paraId="58E3A270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召回率／%</w:t>
            </w:r>
          </w:p>
        </w:tc>
        <w:tc>
          <w:tcPr>
            <w:tcW w:w="1587" w:type="dxa"/>
            <w:shd w:val="clear" w:color="auto" w:fill="auto"/>
          </w:tcPr>
          <w:p w14:paraId="71D27F5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误报率／%</w:t>
            </w:r>
          </w:p>
        </w:tc>
        <w:tc>
          <w:tcPr>
            <w:tcW w:w="1587" w:type="dxa"/>
            <w:shd w:val="clear" w:color="auto" w:fill="auto"/>
          </w:tcPr>
          <w:p w14:paraId="6E52ADAC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F1</w:t>
            </w:r>
          </w:p>
        </w:tc>
      </w:tr>
      <w:tr w14:paraId="7227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17E58910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清洁</w:t>
            </w:r>
          </w:p>
        </w:tc>
        <w:tc>
          <w:tcPr>
            <w:tcW w:w="2296" w:type="dxa"/>
            <w:shd w:val="clear" w:color="auto" w:fill="auto"/>
          </w:tcPr>
          <w:p w14:paraId="0D0F54E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不锁定</w:t>
            </w:r>
          </w:p>
        </w:tc>
        <w:tc>
          <w:tcPr>
            <w:tcW w:w="1587" w:type="dxa"/>
            <w:shd w:val="clear" w:color="auto" w:fill="auto"/>
          </w:tcPr>
          <w:p w14:paraId="6A29F5F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74.83</w:t>
            </w:r>
          </w:p>
        </w:tc>
        <w:tc>
          <w:tcPr>
            <w:tcW w:w="1587" w:type="dxa"/>
            <w:shd w:val="clear" w:color="auto" w:fill="auto"/>
          </w:tcPr>
          <w:p w14:paraId="0D28CB3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15.37</w:t>
            </w:r>
          </w:p>
        </w:tc>
        <w:tc>
          <w:tcPr>
            <w:tcW w:w="1587" w:type="dxa"/>
            <w:shd w:val="clear" w:color="auto" w:fill="auto"/>
          </w:tcPr>
          <w:p w14:paraId="2200608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0.7082</w:t>
            </w:r>
          </w:p>
        </w:tc>
      </w:tr>
      <w:tr w14:paraId="29F9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30C5C40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清洁</w:t>
            </w:r>
          </w:p>
        </w:tc>
        <w:tc>
          <w:tcPr>
            <w:tcW w:w="2296" w:type="dxa"/>
            <w:shd w:val="clear" w:color="auto" w:fill="auto"/>
          </w:tcPr>
          <w:p w14:paraId="124E27C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硬锁定</w:t>
            </w:r>
          </w:p>
        </w:tc>
        <w:tc>
          <w:tcPr>
            <w:tcW w:w="1587" w:type="dxa"/>
            <w:shd w:val="clear" w:color="auto" w:fill="auto"/>
          </w:tcPr>
          <w:p w14:paraId="3204E87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83.41</w:t>
            </w:r>
          </w:p>
        </w:tc>
        <w:tc>
          <w:tcPr>
            <w:tcW w:w="1587" w:type="dxa"/>
            <w:shd w:val="clear" w:color="auto" w:fill="auto"/>
          </w:tcPr>
          <w:p w14:paraId="2BC9BC88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24.42</w:t>
            </w:r>
          </w:p>
        </w:tc>
        <w:tc>
          <w:tcPr>
            <w:tcW w:w="1587" w:type="dxa"/>
            <w:shd w:val="clear" w:color="auto" w:fill="auto"/>
          </w:tcPr>
          <w:p w14:paraId="1EC17AF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0.6971</w:t>
            </w:r>
          </w:p>
        </w:tc>
      </w:tr>
      <w:tr w14:paraId="5FA5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2CA202C4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清洁</w:t>
            </w:r>
          </w:p>
        </w:tc>
        <w:tc>
          <w:tcPr>
            <w:tcW w:w="2296" w:type="dxa"/>
            <w:shd w:val="clear" w:color="auto" w:fill="auto"/>
          </w:tcPr>
          <w:p w14:paraId="2E747E5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校准复核</w:t>
            </w:r>
          </w:p>
        </w:tc>
        <w:tc>
          <w:tcPr>
            <w:tcW w:w="1587" w:type="dxa"/>
            <w:shd w:val="clear" w:color="auto" w:fill="auto"/>
          </w:tcPr>
          <w:p w14:paraId="0BA591F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81.86</w:t>
            </w:r>
          </w:p>
        </w:tc>
        <w:tc>
          <w:tcPr>
            <w:tcW w:w="1587" w:type="dxa"/>
            <w:shd w:val="clear" w:color="auto" w:fill="auto"/>
          </w:tcPr>
          <w:p w14:paraId="7E9F0F2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20.51</w:t>
            </w:r>
          </w:p>
        </w:tc>
        <w:tc>
          <w:tcPr>
            <w:tcW w:w="1587" w:type="dxa"/>
            <w:shd w:val="clear" w:color="auto" w:fill="auto"/>
          </w:tcPr>
          <w:p w14:paraId="714DE49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0.7139</w:t>
            </w:r>
          </w:p>
        </w:tc>
      </w:tr>
      <w:tr w14:paraId="5B92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4A390C2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错误闭环</w:t>
            </w:r>
          </w:p>
        </w:tc>
        <w:tc>
          <w:tcPr>
            <w:tcW w:w="2296" w:type="dxa"/>
            <w:shd w:val="clear" w:color="auto" w:fill="auto"/>
          </w:tcPr>
          <w:p w14:paraId="127006A7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不锁定</w:t>
            </w:r>
          </w:p>
        </w:tc>
        <w:tc>
          <w:tcPr>
            <w:tcW w:w="1587" w:type="dxa"/>
            <w:shd w:val="clear" w:color="auto" w:fill="auto"/>
          </w:tcPr>
          <w:p w14:paraId="6423D1E3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79.89</w:t>
            </w:r>
          </w:p>
        </w:tc>
        <w:tc>
          <w:tcPr>
            <w:tcW w:w="1587" w:type="dxa"/>
            <w:shd w:val="clear" w:color="auto" w:fill="auto"/>
          </w:tcPr>
          <w:p w14:paraId="204E153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21.01</w:t>
            </w:r>
          </w:p>
        </w:tc>
        <w:tc>
          <w:tcPr>
            <w:tcW w:w="1587" w:type="dxa"/>
            <w:shd w:val="clear" w:color="auto" w:fill="auto"/>
          </w:tcPr>
          <w:p w14:paraId="2E70602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0.6992</w:t>
            </w:r>
          </w:p>
        </w:tc>
      </w:tr>
      <w:tr w14:paraId="2085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75269BD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错误闭环</w:t>
            </w:r>
          </w:p>
        </w:tc>
        <w:tc>
          <w:tcPr>
            <w:tcW w:w="2296" w:type="dxa"/>
            <w:shd w:val="clear" w:color="auto" w:fill="auto"/>
          </w:tcPr>
          <w:p w14:paraId="458D3EC3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硬锁定</w:t>
            </w:r>
          </w:p>
        </w:tc>
        <w:tc>
          <w:tcPr>
            <w:tcW w:w="1587" w:type="dxa"/>
            <w:shd w:val="clear" w:color="auto" w:fill="auto"/>
          </w:tcPr>
          <w:p w14:paraId="26FE9FB1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87.71</w:t>
            </w:r>
          </w:p>
        </w:tc>
        <w:tc>
          <w:tcPr>
            <w:tcW w:w="1587" w:type="dxa"/>
            <w:shd w:val="clear" w:color="auto" w:fill="auto"/>
          </w:tcPr>
          <w:p w14:paraId="24EBFE28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43.94</w:t>
            </w:r>
          </w:p>
        </w:tc>
        <w:tc>
          <w:tcPr>
            <w:tcW w:w="1587" w:type="dxa"/>
            <w:shd w:val="clear" w:color="auto" w:fill="auto"/>
          </w:tcPr>
          <w:p w14:paraId="62B1189A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0.6144</w:t>
            </w:r>
          </w:p>
        </w:tc>
      </w:tr>
      <w:tr w14:paraId="4090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6BB5E2C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错误闭环</w:t>
            </w:r>
          </w:p>
        </w:tc>
        <w:tc>
          <w:tcPr>
            <w:tcW w:w="2296" w:type="dxa"/>
            <w:shd w:val="clear" w:color="auto" w:fill="auto"/>
          </w:tcPr>
          <w:p w14:paraId="6A816DF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校准复核</w:t>
            </w:r>
          </w:p>
        </w:tc>
        <w:tc>
          <w:tcPr>
            <w:tcW w:w="1587" w:type="dxa"/>
            <w:shd w:val="clear" w:color="auto" w:fill="auto"/>
          </w:tcPr>
          <w:p w14:paraId="1AEE05B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86.16</w:t>
            </w:r>
          </w:p>
        </w:tc>
        <w:tc>
          <w:tcPr>
            <w:tcW w:w="1587" w:type="dxa"/>
            <w:shd w:val="clear" w:color="auto" w:fill="auto"/>
          </w:tcPr>
          <w:p w14:paraId="6FC59180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35.28</w:t>
            </w:r>
          </w:p>
        </w:tc>
        <w:tc>
          <w:tcPr>
            <w:tcW w:w="1587" w:type="dxa"/>
            <w:shd w:val="clear" w:color="auto" w:fill="auto"/>
          </w:tcPr>
          <w:p w14:paraId="5547049C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0.6549</w:t>
            </w:r>
          </w:p>
        </w:tc>
      </w:tr>
      <w:tr w14:paraId="0F05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1BE756FF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重度</w:t>
            </w:r>
          </w:p>
        </w:tc>
        <w:tc>
          <w:tcPr>
            <w:tcW w:w="2296" w:type="dxa"/>
            <w:shd w:val="clear" w:color="auto" w:fill="auto"/>
          </w:tcPr>
          <w:p w14:paraId="37BE636D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不锁定</w:t>
            </w:r>
          </w:p>
        </w:tc>
        <w:tc>
          <w:tcPr>
            <w:tcW w:w="1587" w:type="dxa"/>
            <w:shd w:val="clear" w:color="auto" w:fill="auto"/>
          </w:tcPr>
          <w:p w14:paraId="620A56A3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62.80</w:t>
            </w:r>
          </w:p>
        </w:tc>
        <w:tc>
          <w:tcPr>
            <w:tcW w:w="1587" w:type="dxa"/>
            <w:shd w:val="clear" w:color="auto" w:fill="auto"/>
          </w:tcPr>
          <w:p w14:paraId="2BD2C9B3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26.68</w:t>
            </w:r>
          </w:p>
        </w:tc>
        <w:tc>
          <w:tcPr>
            <w:tcW w:w="1587" w:type="dxa"/>
            <w:shd w:val="clear" w:color="auto" w:fill="auto"/>
          </w:tcPr>
          <w:p w14:paraId="51EB0889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0.5727</w:t>
            </w:r>
          </w:p>
        </w:tc>
      </w:tr>
      <w:tr w14:paraId="0FD6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7496B72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重度</w:t>
            </w:r>
          </w:p>
        </w:tc>
        <w:tc>
          <w:tcPr>
            <w:tcW w:w="2296" w:type="dxa"/>
            <w:shd w:val="clear" w:color="auto" w:fill="auto"/>
          </w:tcPr>
          <w:p w14:paraId="43164A2C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硬锁定</w:t>
            </w:r>
          </w:p>
        </w:tc>
        <w:tc>
          <w:tcPr>
            <w:tcW w:w="1587" w:type="dxa"/>
            <w:shd w:val="clear" w:color="auto" w:fill="auto"/>
          </w:tcPr>
          <w:p w14:paraId="30E33C66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68.66</w:t>
            </w:r>
          </w:p>
        </w:tc>
        <w:tc>
          <w:tcPr>
            <w:tcW w:w="1587" w:type="dxa"/>
            <w:shd w:val="clear" w:color="auto" w:fill="auto"/>
          </w:tcPr>
          <w:p w14:paraId="04468935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40.56</w:t>
            </w:r>
          </w:p>
        </w:tc>
        <w:tc>
          <w:tcPr>
            <w:tcW w:w="1587" w:type="dxa"/>
            <w:shd w:val="clear" w:color="auto" w:fill="auto"/>
          </w:tcPr>
          <w:p w14:paraId="16F9004E">
            <w:pPr>
              <w:keepNext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0.5290</w:t>
            </w:r>
          </w:p>
        </w:tc>
      </w:tr>
      <w:tr w14:paraId="3F5F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shd w:val="clear" w:color="auto" w:fill="auto"/>
          </w:tcPr>
          <w:p w14:paraId="2C5494A8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重度</w:t>
            </w:r>
          </w:p>
        </w:tc>
        <w:tc>
          <w:tcPr>
            <w:tcW w:w="2296" w:type="dxa"/>
            <w:shd w:val="clear" w:color="auto" w:fill="auto"/>
          </w:tcPr>
          <w:p w14:paraId="489202F8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校准复核</w:t>
            </w:r>
          </w:p>
        </w:tc>
        <w:tc>
          <w:tcPr>
            <w:tcW w:w="1587" w:type="dxa"/>
            <w:shd w:val="clear" w:color="auto" w:fill="auto"/>
          </w:tcPr>
          <w:p w14:paraId="1F52EBDB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68.66</w:t>
            </w:r>
          </w:p>
        </w:tc>
        <w:tc>
          <w:tcPr>
            <w:tcW w:w="1587" w:type="dxa"/>
            <w:shd w:val="clear" w:color="auto" w:fill="auto"/>
          </w:tcPr>
          <w:p w14:paraId="2B8CB44A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40.56</w:t>
            </w:r>
          </w:p>
        </w:tc>
        <w:tc>
          <w:tcPr>
            <w:tcW w:w="1587" w:type="dxa"/>
            <w:shd w:val="clear" w:color="auto" w:fill="auto"/>
          </w:tcPr>
          <w:p w14:paraId="0B588BC2">
            <w:pPr>
              <w:keepNext w:val="0"/>
              <w:spacing w:before="80" w:after="80" w:line="269" w:lineRule="auto"/>
              <w:ind w:firstLine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0.5290</w:t>
            </w:r>
          </w:p>
        </w:tc>
      </w:tr>
    </w:tbl>
    <w:p w14:paraId="39851678">
      <w:pPr>
        <w:keepNext/>
        <w:ind w:firstLine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2345055"/>
            <wp:effectExtent l="0" t="0" r="0" b="0"/>
            <wp:docPr id="36" name="Picture" descr="图4　三种复核策略在清洁、错误闭环及重度扰动下的F1和误报率。各组共用评分，柱形差异来自行动规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图4　三种复核策略在清洁、错误闭环及重度扰动下的F1和误报率。各组共用评分，柱形差异来自行动规则。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99" cy="234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53BD3C">
      <w:pPr>
        <w:pStyle w:val="14"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图4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三种复核策略在清洁、错误闭环及重度扰动下的F1和误报率。各组共用评分，柱形差异来自行动规则。</w:t>
      </w:r>
    </w:p>
    <w:p w14:paraId="4659307F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校准策略将错误闭环条件的误报率降至35.28%，较硬锁定减少8.66个百分点，召回率则降至86.16%。其F1由硬锁定的0.6144回升至0.6549，但仍低于不锁定的0.6992。清洁条件中校准F1均值为0.7139，而种子间标准差较大；重度扰动中校准与硬锁定得到相同的汇总结果。因此，证据只支持校准在部分条件下降低硬锁定代价，不支持其在所有场景全面胜出。</w:t>
      </w:r>
    </w:p>
    <w:bookmarkEnd w:id="18"/>
    <w:p w14:paraId="45FD6975">
      <w:pPr>
        <w:pStyle w:val="11"/>
        <w:keepNext/>
        <w:rPr>
          <w:color w:val="auto"/>
        </w:rPr>
      </w:pPr>
      <w:bookmarkStart w:id="19" w:name="扩展实验与实现核验"/>
      <w:r>
        <w:rPr>
          <w:color w:val="auto"/>
        </w:rPr>
        <w:t xml:space="preserve">6.4 </w:t>
      </w:r>
      <w:r>
        <w:rPr>
          <w:rFonts w:hint="eastAsia"/>
          <w:color w:val="auto"/>
        </w:rPr>
        <w:t>扩展实验与实现核验</w:t>
      </w:r>
    </w:p>
    <w:p w14:paraId="0E639815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D-S实验比较四种组合策略。“设定冲突率”指生成器中的来源对立比例，并非组合系数</w:t>
      </w:r>
      <m:oMath>
        <m:r>
          <m:rPr/>
          <w:rPr>
            <w:color w:val="auto"/>
          </w:rPr>
          <m:t>K</m:t>
        </m:r>
      </m:oMath>
      <w:r>
        <w:rPr>
          <w:rFonts w:hint="eastAsia"/>
          <w:color w:val="auto"/>
        </w:rPr>
        <w:t>。该比例为100%时，经典组合F1为0.4975，可靠性折扣及其冲突修正版均为0.9482，收益依赖预设来源质量。将冲突转为无知也不必然提高分类F1。循环权益扩展在8、32、64、128家公司规模上均与独立迭代一致，验证的是实现正确性。</w:t>
      </w:r>
    </w:p>
    <w:p w14:paraId="76CD1214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项目204项Python测试及8组独立参照检查通过，参照包括基事实穷举、真值表、联合概率、模糊积分、集合运算和权益迭代。完整回放核对404953个数值，重算201600次指标评分、43200次D-S评分及23760条图级决策，源码、数据与产物指纹一致。归档重载、独立运行和五个网页模块也经验证；这些检查不能替代分布外评估。</w:t>
      </w:r>
    </w:p>
    <w:bookmarkEnd w:id="19"/>
    <w:p w14:paraId="5DEFC8AE">
      <w:pPr>
        <w:pStyle w:val="11"/>
        <w:keepNext/>
        <w:rPr>
          <w:color w:val="auto"/>
        </w:rPr>
      </w:pPr>
      <w:bookmarkStart w:id="20" w:name="五维方法比较"/>
      <w:r>
        <w:rPr>
          <w:color w:val="auto"/>
        </w:rPr>
        <w:t xml:space="preserve">6.5 </w:t>
      </w:r>
      <w:r>
        <w:rPr>
          <w:rFonts w:hint="eastAsia"/>
          <w:color w:val="auto"/>
        </w:rPr>
        <w:t>五维方法比较</w:t>
      </w:r>
    </w:p>
    <w:p w14:paraId="108F7EED">
      <w:pPr>
        <w:pStyle w:val="9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表5</w:t>
      </w:r>
      <w:r>
        <w:rPr>
          <w:rFonts w:ascii="Times New Roman" w:hAnsi="Times New Roman" w:eastAsia="宋体"/>
          <w:b w:val="0"/>
          <w:color w:val="auto"/>
          <w:sz w:val="21"/>
        </w:rPr>
        <w:t>　</w:t>
      </w:r>
      <w:r>
        <w:rPr>
          <w:rFonts w:hint="eastAsia" w:ascii="Times New Roman" w:hAnsi="Times New Roman" w:eastAsia="宋体"/>
          <w:b w:val="0"/>
          <w:color w:val="auto"/>
          <w:sz w:val="21"/>
        </w:rPr>
        <w:t>确定性与不确定性推理的五维比较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3563"/>
        <w:gridCol w:w="3563"/>
      </w:tblGrid>
      <w:tr w14:paraId="28AB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61" w:type="dxa"/>
            <w:shd w:val="clear" w:color="auto" w:fill="auto"/>
          </w:tcPr>
          <w:p w14:paraId="172EC111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维度</w:t>
            </w:r>
          </w:p>
        </w:tc>
        <w:tc>
          <w:tcPr>
            <w:tcW w:w="3472" w:type="dxa"/>
            <w:shd w:val="clear" w:color="auto" w:fill="auto"/>
          </w:tcPr>
          <w:p w14:paraId="007C23E4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确定性推理</w:t>
            </w:r>
          </w:p>
        </w:tc>
        <w:tc>
          <w:tcPr>
            <w:tcW w:w="3472" w:type="dxa"/>
            <w:shd w:val="clear" w:color="auto" w:fill="auto"/>
          </w:tcPr>
          <w:p w14:paraId="73714CD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不确定性推理</w:t>
            </w:r>
          </w:p>
        </w:tc>
      </w:tr>
      <w:tr w14:paraId="4F74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3F67235E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建模难度</w:t>
            </w:r>
          </w:p>
        </w:tc>
        <w:tc>
          <w:tcPr>
            <w:tcW w:w="3472" w:type="dxa"/>
            <w:shd w:val="clear" w:color="auto" w:fill="auto"/>
          </w:tcPr>
          <w:p w14:paraId="17DC955D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明确谓词、规则、守卫与业务边界。</w:t>
            </w:r>
          </w:p>
        </w:tc>
        <w:tc>
          <w:tcPr>
            <w:tcW w:w="3472" w:type="dxa"/>
            <w:shd w:val="clear" w:color="auto" w:fill="auto"/>
          </w:tcPr>
          <w:p w14:paraId="3FB1DFF1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Bayes需依赖结构和CPT；模糊方法需集合与规则。</w:t>
            </w:r>
          </w:p>
        </w:tc>
      </w:tr>
      <w:tr w14:paraId="3920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2720C07F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推理效率</w:t>
            </w:r>
          </w:p>
        </w:tc>
        <w:tc>
          <w:tcPr>
            <w:tcW w:w="3472" w:type="dxa"/>
            <w:shd w:val="clear" w:color="auto" w:fill="auto"/>
          </w:tcPr>
          <w:p w14:paraId="5662473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取决于连接、递归和规模；可用索引、增量和切片优化。</w:t>
            </w:r>
          </w:p>
        </w:tc>
        <w:tc>
          <w:tcPr>
            <w:tcW w:w="3472" w:type="dxa"/>
            <w:shd w:val="clear" w:color="auto" w:fill="auto"/>
          </w:tcPr>
          <w:p w14:paraId="78CD4CC7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星形Bayes较轻；模糊聚合随规则和网格开销增加。</w:t>
            </w:r>
          </w:p>
        </w:tc>
      </w:tr>
      <w:tr w14:paraId="68232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7CE0A589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容错性</w:t>
            </w:r>
          </w:p>
        </w:tc>
        <w:tc>
          <w:tcPr>
            <w:tcW w:w="3472" w:type="dxa"/>
            <w:shd w:val="clear" w:color="auto" w:fill="auto"/>
          </w:tcPr>
          <w:p w14:paraId="5152CD59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缺事实可能漏推，错误事实可能传播；已证正例仍保留。</w:t>
            </w:r>
          </w:p>
        </w:tc>
        <w:tc>
          <w:tcPr>
            <w:tcW w:w="3472" w:type="dxa"/>
            <w:shd w:val="clear" w:color="auto" w:fill="auto"/>
          </w:tcPr>
          <w:p w14:paraId="1A1A68BD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可处理部分观测；参数偏差和分布变化仍使结果退化。</w:t>
            </w:r>
          </w:p>
        </w:tc>
      </w:tr>
      <w:tr w14:paraId="207B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69B0715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结果可信度</w:t>
            </w:r>
          </w:p>
        </w:tc>
        <w:tc>
          <w:tcPr>
            <w:tcW w:w="3472" w:type="dxa"/>
            <w:shd w:val="clear" w:color="auto" w:fill="auto"/>
          </w:tcPr>
          <w:p w14:paraId="4A23EFE3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证明可追溯，但正确性有赖于事实与规则的有效性。</w:t>
            </w:r>
          </w:p>
        </w:tc>
        <w:tc>
          <w:tcPr>
            <w:tcW w:w="3472" w:type="dxa"/>
            <w:shd w:val="clear" w:color="auto" w:fill="auto"/>
          </w:tcPr>
          <w:p w14:paraId="1DA1EECD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概率与隶属度需区别；校准和数据质量决定解释范围。</w:t>
            </w:r>
          </w:p>
        </w:tc>
      </w:tr>
      <w:tr w14:paraId="1488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auto"/>
          </w:tcPr>
          <w:p w14:paraId="20E75221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落地限制</w:t>
            </w:r>
          </w:p>
        </w:tc>
        <w:tc>
          <w:tcPr>
            <w:tcW w:w="3472" w:type="dxa"/>
            <w:shd w:val="clear" w:color="auto" w:fill="auto"/>
          </w:tcPr>
          <w:p w14:paraId="3DC5406A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给定规则不等于完整业务规范，不能自动核验输入。</w:t>
            </w:r>
          </w:p>
        </w:tc>
        <w:tc>
          <w:tcPr>
            <w:tcW w:w="3472" w:type="dxa"/>
            <w:shd w:val="clear" w:color="auto" w:fill="auto"/>
          </w:tcPr>
          <w:p w14:paraId="49CEE1C6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1"/>
              </w:rPr>
              <w:t>需外部标签、来源质量和决策代价，融合不保证全面增益。</w:t>
            </w:r>
          </w:p>
        </w:tc>
      </w:tr>
    </w:tbl>
    <w:p w14:paraId="7393A87B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结构证明、评分误差和复核代价应分别评估。确定性方法提供推导路径，不确定性方法支持部分观测下的判断，混合系统连接到行动层；单一综合分数无法替代五维比较。</w:t>
      </w:r>
    </w:p>
    <w:bookmarkEnd w:id="15"/>
    <w:bookmarkEnd w:id="20"/>
    <w:p w14:paraId="529B0D6F">
      <w:pPr>
        <w:pStyle w:val="10"/>
        <w:keepNext/>
        <w:rPr>
          <w:color w:val="auto"/>
        </w:rPr>
      </w:pPr>
      <w:bookmarkStart w:id="21" w:name="创新点总结"/>
      <w:r>
        <w:rPr>
          <w:color w:val="auto"/>
        </w:rPr>
        <w:t xml:space="preserve">7 </w:t>
      </w:r>
      <w:r>
        <w:rPr>
          <w:rFonts w:hint="eastAsia"/>
          <w:color w:val="auto"/>
        </w:rPr>
        <w:t>创新点总结</w:t>
      </w:r>
    </w:p>
    <w:p w14:paraId="2F6677B6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本项目的混合创新是结构证明、共同评分与行动门控的分层组合。规则提供可回溯的预警，两种方法使用相同观测；最低评分支持修正硬锁定行动，同时保留证明和分数，使报警与暂缓复核均可解释。</w:t>
      </w:r>
    </w:p>
    <w:p w14:paraId="291BEC9F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图级对照固定输入、评分和阈值，测量锁定带来的额外误报与召回变化，揭示逻辑一致性与行动有效性的差距。创新定位为课程场景中的工程组合及验证，不将意见池、表格化推理等已有方法宣称为首次提出。</w:t>
      </w:r>
    </w:p>
    <w:bookmarkEnd w:id="21"/>
    <w:p w14:paraId="0A9964E5">
      <w:pPr>
        <w:pStyle w:val="10"/>
        <w:keepNext/>
        <w:rPr>
          <w:color w:val="auto"/>
        </w:rPr>
      </w:pPr>
      <w:bookmarkStart w:id="22" w:name="不足展望与结论"/>
      <w:r>
        <w:rPr>
          <w:color w:val="auto"/>
        </w:rPr>
        <w:t xml:space="preserve">8 </w:t>
      </w:r>
      <w:r>
        <w:rPr>
          <w:rFonts w:hint="eastAsia"/>
          <w:color w:val="auto"/>
        </w:rPr>
        <w:t>不足、展望与结论</w:t>
      </w:r>
    </w:p>
    <w:p w14:paraId="0F72B7C0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主要限制是样本和标签均为合成，生成分布可能有利于Bayes；29实体案例不足以检验真实风险识别。安全正Horn便于终止与解释，却不能自然表达默认否定、非单调撤回和复杂控制法规。模型重放正确也不能消除源数据错误。</w:t>
      </w:r>
    </w:p>
    <w:p w14:paraId="20171B5C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后续应建立可核验的外部标注和跨分布测试，研究相关特征与代价敏感校准。扩展规则需维护来源版本和撤回机制；增加随机种子、置信区间及预设代价评估，以判断小幅改进是否稳定。</w:t>
      </w:r>
    </w:p>
    <w:p w14:paraId="6A7DE293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本文完成了一阶建模、算法实现、优化与图级混合验证。确定性优化保留答案与证明，参数学习改善清洁评分，但抗干扰和融合收益仍受条件限制。系统应保留结构依据，区分评分语义，并独立验证行动代价。</w:t>
      </w:r>
    </w:p>
    <w:bookmarkEnd w:id="22"/>
    <w:p w14:paraId="104AAB9B">
      <w:pPr>
        <w:pStyle w:val="10"/>
        <w:keepNext/>
        <w:pageBreakBefore/>
        <w:rPr>
          <w:color w:val="auto"/>
        </w:rPr>
      </w:pPr>
      <w:bookmarkStart w:id="23" w:name="参考文献"/>
      <w:r>
        <w:rPr>
          <w:rFonts w:hint="eastAsia"/>
          <w:color w:val="auto"/>
        </w:rPr>
        <w:t>参考文献</w:t>
      </w:r>
    </w:p>
    <w:p w14:paraId="5061B23B">
      <w:pPr>
        <w:pStyle w:val="9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[1] ICIJ. About the Offshore Leaks Database[EB/OL]. [2026-10-26]. https://offshoreleaks.icij.org/pages/about.</w:t>
      </w:r>
    </w:p>
    <w:p w14:paraId="1F1E66D7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[2] CERI S, GOTTLOB G, TANCA L. What you always wanted to know about Datalog (and never dared to ask)[J]. IEEE Transactions on Knowledge and Data Engineering, 1989, 1(1): 146-166. DOI: 10.1109/69.43410.</w:t>
      </w:r>
    </w:p>
    <w:p w14:paraId="0E4CAF89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[3] ROBINSON J A. A Machine-Oriented Logic Based on the Resolution Principle[J]. Journal of the ACM, 1965, 12(1): 23-41. DOI: 10.1145/321250.321253.</w:t>
      </w:r>
    </w:p>
    <w:p w14:paraId="26A259A8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[4] PEARL J. Fusion, propagation, and structuring in belief networks[J]. Artificial Intelligence, 1986, 29(3): 241-288. DOI: 10.1016/0004-3702(86)90072-X.</w:t>
      </w:r>
    </w:p>
    <w:p w14:paraId="0FB457DA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[5] ZADEH L A. Fuzzy sets[J]. Information and Control, 1965, 8(3): 338-353. DOI: 10.1016/S0019-9958(65)90241-X.</w:t>
      </w:r>
    </w:p>
    <w:p w14:paraId="63971BCD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[6] MAMDANI E H, ASSILIAN S. An experiment in linguistic synthesis with a fuzzy logic controller[J]. International Journal of Man-Machine Studies, 1975, 7(1): 1-13. DOI: 10.1016/S0020-7373(75)80002-2.</w:t>
      </w:r>
    </w:p>
    <w:p w14:paraId="1ACE361F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[7] DEMPSTER A P. Upper and Lower Probabilities Induced by a Multivalued Mapping[J]. The Annals of Mathematical Statistics, 1967, 38(2): 325-339. DOI: 10.1214/aoms/1177698950.</w:t>
      </w:r>
    </w:p>
    <w:p w14:paraId="121C8826">
      <w:pPr>
        <w:pStyle w:val="8"/>
        <w:spacing w:after="140" w:line="276" w:lineRule="auto"/>
        <w:ind w:firstLine="0"/>
        <w:jc w:val="both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[8] YAGER R R. On the Dempster-Shafer framework and new combination rules[J]. Information Sciences, 1987, 41(2): 93-137. DOI: 10.1016/0020-0255(87)90007-7.</w:t>
      </w:r>
    </w:p>
    <w:bookmarkEnd w:id="23"/>
    <w:p w14:paraId="2A8A5620">
      <w:pPr>
        <w:pStyle w:val="10"/>
        <w:keepNext/>
        <w:pageBreakBefore/>
        <w:rPr>
          <w:color w:val="auto"/>
        </w:rPr>
      </w:pPr>
      <w:bookmarkStart w:id="24" w:name="附录a-小组分工"/>
      <w:r>
        <w:rPr>
          <w:rFonts w:hint="eastAsia"/>
          <w:color w:val="auto"/>
        </w:rPr>
        <w:t>附录A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小组分工</w:t>
      </w:r>
    </w:p>
    <w:p w14:paraId="67B4D494">
      <w:pPr>
        <w:pStyle w:val="9"/>
        <w:keepNext/>
        <w:ind w:firstLine="0"/>
        <w:jc w:val="center"/>
        <w:rPr>
          <w:color w:val="auto"/>
        </w:rPr>
      </w:pPr>
      <w:r>
        <w:rPr>
          <w:rFonts w:hint="eastAsia" w:ascii="Times New Roman" w:hAnsi="Times New Roman" w:eastAsia="宋体"/>
          <w:b w:val="0"/>
          <w:color w:val="auto"/>
          <w:sz w:val="21"/>
        </w:rPr>
        <w:t>小组责任分工安排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745"/>
        <w:gridCol w:w="1600"/>
        <w:gridCol w:w="4217"/>
      </w:tblGrid>
      <w:tr w14:paraId="5425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5" w:type="dxa"/>
            <w:shd w:val="clear" w:color="auto" w:fill="auto"/>
          </w:tcPr>
          <w:p w14:paraId="15CC7243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姓名</w:t>
            </w:r>
          </w:p>
        </w:tc>
        <w:tc>
          <w:tcPr>
            <w:tcW w:w="1701" w:type="dxa"/>
            <w:shd w:val="clear" w:color="auto" w:fill="auto"/>
          </w:tcPr>
          <w:p w14:paraId="0187EEBF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学号</w:t>
            </w:r>
          </w:p>
        </w:tc>
        <w:tc>
          <w:tcPr>
            <w:tcW w:w="1559" w:type="dxa"/>
            <w:shd w:val="clear" w:color="auto" w:fill="auto"/>
          </w:tcPr>
          <w:p w14:paraId="3707245D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职能</w:t>
            </w:r>
          </w:p>
        </w:tc>
        <w:tc>
          <w:tcPr>
            <w:tcW w:w="4110" w:type="dxa"/>
            <w:shd w:val="clear" w:color="auto" w:fill="auto"/>
          </w:tcPr>
          <w:p w14:paraId="28578463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0"/>
              </w:rPr>
              <w:t>责任范围</w:t>
            </w:r>
          </w:p>
        </w:tc>
      </w:tr>
      <w:tr w14:paraId="7C12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" w:type="dxa"/>
            <w:shd w:val="clear" w:color="auto" w:fill="auto"/>
          </w:tcPr>
          <w:p w14:paraId="17BC87B2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梁镇贤</w:t>
            </w:r>
          </w:p>
        </w:tc>
        <w:tc>
          <w:tcPr>
            <w:tcW w:w="1701" w:type="dxa"/>
            <w:shd w:val="clear" w:color="auto" w:fill="auto"/>
          </w:tcPr>
          <w:p w14:paraId="1FAAA60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202425220516</w:t>
            </w:r>
          </w:p>
        </w:tc>
        <w:tc>
          <w:tcPr>
            <w:tcW w:w="1559" w:type="dxa"/>
            <w:shd w:val="clear" w:color="auto" w:fill="auto"/>
          </w:tcPr>
          <w:p w14:paraId="2295B7D4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工程实现／组长</w:t>
            </w:r>
          </w:p>
        </w:tc>
        <w:tc>
          <w:tcPr>
            <w:tcW w:w="4110" w:type="dxa"/>
            <w:shd w:val="clear" w:color="auto" w:fill="auto"/>
          </w:tcPr>
          <w:p w14:paraId="521D6D82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统筹架构与进度，负责不确定性算法、网页联调、环境配置与复现检查</w:t>
            </w:r>
          </w:p>
        </w:tc>
      </w:tr>
      <w:tr w14:paraId="1BB0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" w:type="dxa"/>
            <w:shd w:val="clear" w:color="auto" w:fill="auto"/>
          </w:tcPr>
          <w:p w14:paraId="085EE835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陈宗波</w:t>
            </w:r>
          </w:p>
        </w:tc>
        <w:tc>
          <w:tcPr>
            <w:tcW w:w="1701" w:type="dxa"/>
            <w:shd w:val="clear" w:color="auto" w:fill="auto"/>
          </w:tcPr>
          <w:p w14:paraId="1294CC0E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202425220507</w:t>
            </w:r>
          </w:p>
        </w:tc>
        <w:tc>
          <w:tcPr>
            <w:tcW w:w="1559" w:type="dxa"/>
            <w:shd w:val="clear" w:color="auto" w:fill="auto"/>
          </w:tcPr>
          <w:p w14:paraId="19B45F1F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工程实现</w:t>
            </w:r>
          </w:p>
        </w:tc>
        <w:tc>
          <w:tcPr>
            <w:tcW w:w="4110" w:type="dxa"/>
            <w:shd w:val="clear" w:color="auto" w:fill="auto"/>
          </w:tcPr>
          <w:p w14:paraId="1CCDA909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负责确定性推理模块、系统集成和整体验收</w:t>
            </w:r>
          </w:p>
        </w:tc>
      </w:tr>
      <w:tr w14:paraId="4A3D5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" w:type="dxa"/>
            <w:shd w:val="clear" w:color="auto" w:fill="auto"/>
          </w:tcPr>
          <w:p w14:paraId="422BEC98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温文辉</w:t>
            </w:r>
          </w:p>
        </w:tc>
        <w:tc>
          <w:tcPr>
            <w:tcW w:w="1701" w:type="dxa"/>
            <w:shd w:val="clear" w:color="auto" w:fill="auto"/>
          </w:tcPr>
          <w:p w14:paraId="586CD8E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202425220523</w:t>
            </w:r>
          </w:p>
        </w:tc>
        <w:tc>
          <w:tcPr>
            <w:tcW w:w="1559" w:type="dxa"/>
            <w:shd w:val="clear" w:color="auto" w:fill="auto"/>
          </w:tcPr>
          <w:p w14:paraId="0C82B6B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理论架构</w:t>
            </w:r>
          </w:p>
        </w:tc>
        <w:tc>
          <w:tcPr>
            <w:tcW w:w="4110" w:type="dxa"/>
            <w:shd w:val="clear" w:color="auto" w:fill="auto"/>
          </w:tcPr>
          <w:p w14:paraId="58B6ABD2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负责逻辑与概率公式、可靠性边界及方法比较的复核</w:t>
            </w:r>
          </w:p>
        </w:tc>
      </w:tr>
      <w:tr w14:paraId="7FE5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" w:type="dxa"/>
            <w:shd w:val="clear" w:color="auto" w:fill="auto"/>
          </w:tcPr>
          <w:p w14:paraId="4AE1F6AF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陈宇冲</w:t>
            </w:r>
          </w:p>
        </w:tc>
        <w:tc>
          <w:tcPr>
            <w:tcW w:w="1701" w:type="dxa"/>
            <w:shd w:val="clear" w:color="auto" w:fill="auto"/>
          </w:tcPr>
          <w:p w14:paraId="234489DB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202425220505</w:t>
            </w:r>
          </w:p>
        </w:tc>
        <w:tc>
          <w:tcPr>
            <w:tcW w:w="1559" w:type="dxa"/>
            <w:shd w:val="clear" w:color="auto" w:fill="auto"/>
          </w:tcPr>
          <w:p w14:paraId="643036EE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创新优化</w:t>
            </w:r>
          </w:p>
        </w:tc>
        <w:tc>
          <w:tcPr>
            <w:tcW w:w="4110" w:type="dxa"/>
            <w:shd w:val="clear" w:color="auto" w:fill="auto"/>
          </w:tcPr>
          <w:p w14:paraId="48B774EF">
            <w:pPr>
              <w:keepNext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负责参数拟合、校准复核、扰动实验和消融解释的复核</w:t>
            </w:r>
          </w:p>
        </w:tc>
      </w:tr>
      <w:tr w14:paraId="30BF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5" w:type="dxa"/>
            <w:shd w:val="clear" w:color="auto" w:fill="auto"/>
          </w:tcPr>
          <w:p w14:paraId="17932C75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刘亦达</w:t>
            </w:r>
          </w:p>
        </w:tc>
        <w:tc>
          <w:tcPr>
            <w:tcW w:w="1701" w:type="dxa"/>
            <w:shd w:val="clear" w:color="auto" w:fill="auto"/>
          </w:tcPr>
          <w:p w14:paraId="4488B4B4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202425220518</w:t>
            </w:r>
          </w:p>
        </w:tc>
        <w:tc>
          <w:tcPr>
            <w:tcW w:w="1559" w:type="dxa"/>
            <w:shd w:val="clear" w:color="auto" w:fill="auto"/>
          </w:tcPr>
          <w:p w14:paraId="6513C29D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成果汇总／课堂汇报</w:t>
            </w:r>
          </w:p>
        </w:tc>
        <w:tc>
          <w:tcPr>
            <w:tcW w:w="4110" w:type="dxa"/>
            <w:shd w:val="clear" w:color="auto" w:fill="auto"/>
          </w:tcPr>
          <w:p w14:paraId="57B7B4BA">
            <w:pPr>
              <w:keepNext w:val="0"/>
              <w:spacing w:before="80" w:after="80" w:line="269" w:lineRule="auto"/>
              <w:ind w:firstLine="0"/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 w:val="0"/>
                <w:color w:val="auto"/>
                <w:sz w:val="20"/>
              </w:rPr>
              <w:t>负责材料统稿、图表一致性检查、PPT和课堂答辩</w:t>
            </w:r>
          </w:p>
        </w:tc>
      </w:tr>
      <w:bookmarkEnd w:id="24"/>
    </w:tbl>
    <w:p w14:paraId="1F3C846E">
      <w:pPr>
        <w:pStyle w:val="10"/>
        <w:keepNext/>
        <w:pageBreakBefore/>
        <w:rPr>
          <w:color w:val="auto"/>
        </w:rPr>
      </w:pPr>
      <w:bookmarkStart w:id="25" w:name="附录b-环境配置运行与结果解读"/>
      <w:r>
        <w:rPr>
          <w:rFonts w:hint="eastAsia"/>
          <w:color w:val="auto"/>
        </w:rPr>
        <w:t>附录B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环境配置、运行与结果解读</w:t>
      </w:r>
    </w:p>
    <w:p w14:paraId="1BF4B0A4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在“第31组_实验二源码”目录内运行。核心命令行演示只需Python标准库；完整网页和图表推荐Python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3.11及以上，并安装requirements.txt所列依赖。首次构建前端还需Node.js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18及以上，可使用以下命令准备环境：</w:t>
      </w:r>
    </w:p>
    <w:p w14:paraId="11609EFA">
      <w:pPr>
        <w:pStyle w:val="16"/>
        <w:keepLines/>
        <w:spacing w:after="0" w:line="252" w:lineRule="auto"/>
        <w:ind w:firstLine="0"/>
        <w:rPr>
          <w:color w:val="auto"/>
        </w:rPr>
      </w:pP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python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m pip install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r requirements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.</w:t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txt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cd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web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npm ci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npm run build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cd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..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python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B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X utf8 main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.</w:t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py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lab02 demo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python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B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X utf8 scripts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/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prepare_lab02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.</w:t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py</w:t>
      </w:r>
      <w:r>
        <w:rPr>
          <w:rFonts w:ascii="Consolas" w:hAnsi="Consolas" w:eastAsia="微软雅黑"/>
          <w:b w:val="0"/>
          <w:color w:val="auto"/>
          <w:sz w:val="17"/>
        </w:rPr>
        <w:br w:type="textWrapping"/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python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B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X utf8 main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.</w:t>
      </w:r>
      <w:r>
        <w:rPr>
          <w:rStyle w:val="34"/>
          <w:rFonts w:ascii="Consolas" w:hAnsi="Consolas" w:eastAsia="微软雅黑"/>
          <w:b w:val="0"/>
          <w:color w:val="auto"/>
          <w:sz w:val="17"/>
        </w:rPr>
        <w:t>py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 xml:space="preserve"> lab02 verify </w:t>
      </w:r>
      <w:r>
        <w:rPr>
          <w:rStyle w:val="37"/>
          <w:rFonts w:ascii="Consolas" w:hAnsi="Consolas" w:eastAsia="微软雅黑"/>
          <w:b w:val="0"/>
          <w:color w:val="auto"/>
          <w:sz w:val="17"/>
        </w:rPr>
        <w:t>--</w:t>
      </w:r>
      <w:r>
        <w:rPr>
          <w:rStyle w:val="47"/>
          <w:rFonts w:ascii="Consolas" w:hAnsi="Consolas" w:eastAsia="微软雅黑"/>
          <w:b w:val="0"/>
          <w:color w:val="auto"/>
          <w:sz w:val="17"/>
        </w:rPr>
        <w:t>full-replay</w:t>
      </w:r>
    </w:p>
    <w:p w14:paraId="61593A53">
      <w:pPr>
        <w:pStyle w:val="9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双击“打开网站.cmd”或“启动实验二.cmd”进入实验二。启动器先打开可用网页，再准备缺少的正式实验数据；已有服务会复用。双击“运行实验.cmd”后，选1重新计算完整实验，选2打开已有结果，选0退出。“停止网站.cmd”只结束当前项目服务。命令行重算也可使用prepare_lab02.py的--force参数。</w:t>
      </w:r>
    </w:p>
    <w:p w14:paraId="373C37F6">
      <w:pPr>
        <w:pStyle w:val="8"/>
        <w:ind w:firstLine="480"/>
        <w:jc w:val="both"/>
        <w:rPr>
          <w:color w:val="auto"/>
        </w:rPr>
      </w:pPr>
      <w:r>
        <w:rPr>
          <w:rFonts w:hint="eastAsia"/>
          <w:color w:val="auto"/>
        </w:rPr>
        <w:t>输出统一在outputs/lab02：demo保存完整事实与证明；experiments保存指标预测、参数、敏感性及消融；end_to_end保存图输入和复核策略结果；benchmarks保存效率对照；governance保存循环权益与证据扩展；figures保存主要图表。读取结果时先看场景、模型和随机种子，再区分原始score与最终review_required。基准表的耗时是本机测量值，重跑可能变化，事实闭包、评分语义和划分隔离才是复现时需要核对的核心性质。</w:t>
      </w:r>
    </w:p>
    <w:bookmarkEnd w:id="25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ABB92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9956D">
    <w:pPr>
      <w:ind w:firstLine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923D0"/>
    <w:rsid w:val="00154671"/>
    <w:rsid w:val="001A29BF"/>
    <w:rsid w:val="001F66DD"/>
    <w:rsid w:val="002B3D8C"/>
    <w:rsid w:val="00441135"/>
    <w:rsid w:val="005279C6"/>
    <w:rsid w:val="008851B0"/>
    <w:rsid w:val="0AD007F3"/>
    <w:rsid w:val="16430362"/>
    <w:rsid w:val="2079747B"/>
    <w:rsid w:val="20B4370B"/>
    <w:rsid w:val="20D677C0"/>
    <w:rsid w:val="2FA14FB2"/>
    <w:rsid w:val="31CE2C88"/>
    <w:rsid w:val="347C488D"/>
    <w:rsid w:val="539D6365"/>
    <w:rsid w:val="550D2661"/>
    <w:rsid w:val="5ECE3876"/>
    <w:rsid w:val="739923D0"/>
    <w:rsid w:val="79FCA645"/>
    <w:rsid w:val="7EFB8B3F"/>
    <w:rsid w:val="CB3F4807"/>
    <w:rsid w:val="DDFF7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80" w:line="360" w:lineRule="auto"/>
      <w:ind w:firstLine="48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">
    <w:name w:val="Body Text"/>
    <w:basedOn w:val="1"/>
    <w:uiPriority w:val="0"/>
    <w:pPr>
      <w:widowControl/>
      <w:spacing w:before="0" w:after="80" w:line="360" w:lineRule="auto"/>
      <w:ind w:firstLine="480"/>
    </w:pPr>
    <w:rPr>
      <w:rFonts w:ascii="Times New Roman" w:hAnsi="Times New Roman" w:eastAsia="宋体"/>
      <w:sz w:val="24"/>
    </w:rPr>
  </w:style>
  <w:style w:type="paragraph" w:customStyle="1" w:styleId="9">
    <w:name w:val="First Paragraph"/>
    <w:basedOn w:val="1"/>
    <w:uiPriority w:val="0"/>
    <w:pPr>
      <w:widowControl/>
      <w:spacing w:before="0" w:after="80" w:line="360" w:lineRule="auto"/>
      <w:ind w:firstLine="480"/>
    </w:pPr>
    <w:rPr>
      <w:rFonts w:ascii="Times New Roman" w:hAnsi="Times New Roman" w:eastAsia="宋体"/>
      <w:sz w:val="24"/>
    </w:rPr>
  </w:style>
  <w:style w:type="paragraph" w:customStyle="1" w:styleId="10">
    <w:name w:val="heading 1"/>
    <w:basedOn w:val="1"/>
    <w:qFormat/>
    <w:uiPriority w:val="0"/>
    <w:pPr>
      <w:keepNext/>
      <w:spacing w:before="280" w:after="140"/>
      <w:ind w:firstLine="0"/>
    </w:pPr>
    <w:rPr>
      <w:rFonts w:ascii="Times New Roman" w:hAnsi="Times New Roman" w:eastAsia="黑体"/>
      <w:b/>
      <w:sz w:val="30"/>
    </w:rPr>
  </w:style>
  <w:style w:type="paragraph" w:customStyle="1" w:styleId="11">
    <w:name w:val="heading 2"/>
    <w:basedOn w:val="1"/>
    <w:qFormat/>
    <w:uiPriority w:val="0"/>
    <w:pPr>
      <w:keepNext/>
      <w:spacing w:before="280" w:after="140"/>
      <w:ind w:firstLine="0"/>
    </w:pPr>
    <w:rPr>
      <w:rFonts w:ascii="Times New Roman" w:hAnsi="Times New Roman" w:eastAsia="黑体"/>
      <w:b/>
      <w:sz w:val="24"/>
    </w:rPr>
  </w:style>
  <w:style w:type="paragraph" w:customStyle="1" w:styleId="12">
    <w:name w:val="heading 3"/>
    <w:basedOn w:val="1"/>
    <w:uiPriority w:val="0"/>
    <w:pPr>
      <w:keepNext/>
      <w:spacing w:before="280" w:after="140"/>
      <w:ind w:firstLine="0"/>
    </w:pPr>
    <w:rPr>
      <w:rFonts w:ascii="Times New Roman" w:hAnsi="Times New Roman" w:eastAsia="黑体"/>
      <w:b/>
      <w:sz w:val="22"/>
    </w:rPr>
  </w:style>
  <w:style w:type="paragraph" w:customStyle="1" w:styleId="13">
    <w:name w:val="caption"/>
    <w:basedOn w:val="1"/>
    <w:uiPriority w:val="0"/>
    <w:pPr>
      <w:ind w:firstLine="0"/>
    </w:pPr>
    <w:rPr>
      <w:rFonts w:ascii="Times New Roman" w:hAnsi="Times New Roman" w:eastAsia="宋体"/>
      <w:sz w:val="21"/>
    </w:rPr>
  </w:style>
  <w:style w:type="paragraph" w:customStyle="1" w:styleId="14">
    <w:name w:val="Image Caption"/>
    <w:basedOn w:val="1"/>
    <w:qFormat/>
    <w:uiPriority w:val="0"/>
    <w:pPr>
      <w:ind w:firstLine="0"/>
    </w:pPr>
    <w:rPr>
      <w:rFonts w:ascii="Times New Roman" w:hAnsi="Times New Roman" w:eastAsia="宋体"/>
      <w:sz w:val="21"/>
    </w:rPr>
  </w:style>
  <w:style w:type="paragraph" w:customStyle="1" w:styleId="15">
    <w:name w:val="Table Caption"/>
    <w:basedOn w:val="1"/>
    <w:qFormat/>
    <w:uiPriority w:val="0"/>
    <w:pPr>
      <w:ind w:firstLine="0"/>
    </w:pPr>
    <w:rPr>
      <w:rFonts w:ascii="Times New Roman" w:hAnsi="Times New Roman" w:eastAsia="宋体"/>
      <w:sz w:val="21"/>
    </w:rPr>
  </w:style>
  <w:style w:type="paragraph" w:customStyle="1" w:styleId="16">
    <w:name w:val="Source Code"/>
    <w:basedOn w:val="1"/>
    <w:qFormat/>
    <w:uiPriority w:val="0"/>
  </w:style>
  <w:style w:type="character" w:customStyle="1" w:styleId="17">
    <w:name w:val="KeywordTok"/>
    <w:qFormat/>
    <w:uiPriority w:val="0"/>
    <w:rPr>
      <w:b/>
      <w:color w:val="204A87"/>
      <w:shd w:val="clear" w:fill="F8F8F8"/>
    </w:rPr>
  </w:style>
  <w:style w:type="character" w:customStyle="1" w:styleId="18">
    <w:name w:val="DataTypeTok"/>
    <w:qFormat/>
    <w:uiPriority w:val="0"/>
    <w:rPr>
      <w:color w:val="204A87"/>
      <w:shd w:val="clear" w:fill="F8F8F8"/>
    </w:rPr>
  </w:style>
  <w:style w:type="character" w:customStyle="1" w:styleId="19">
    <w:name w:val="DecValTok"/>
    <w:qFormat/>
    <w:uiPriority w:val="0"/>
    <w:rPr>
      <w:color w:val="0000CF"/>
      <w:shd w:val="clear" w:fill="F8F8F8"/>
    </w:rPr>
  </w:style>
  <w:style w:type="character" w:customStyle="1" w:styleId="20">
    <w:name w:val="BaseNTok"/>
    <w:qFormat/>
    <w:uiPriority w:val="0"/>
    <w:rPr>
      <w:color w:val="0000CF"/>
      <w:shd w:val="clear" w:fill="F8F8F8"/>
    </w:rPr>
  </w:style>
  <w:style w:type="character" w:customStyle="1" w:styleId="21">
    <w:name w:val="FloatTok"/>
    <w:qFormat/>
    <w:uiPriority w:val="0"/>
    <w:rPr>
      <w:color w:val="0000CF"/>
      <w:shd w:val="clear" w:fill="F8F8F8"/>
    </w:rPr>
  </w:style>
  <w:style w:type="character" w:customStyle="1" w:styleId="22">
    <w:name w:val="ConstantTok"/>
    <w:uiPriority w:val="0"/>
    <w:rPr>
      <w:color w:val="8F5902"/>
      <w:shd w:val="clear" w:fill="F8F8F8"/>
    </w:rPr>
  </w:style>
  <w:style w:type="character" w:customStyle="1" w:styleId="23">
    <w:name w:val="CharTok"/>
    <w:uiPriority w:val="0"/>
    <w:rPr>
      <w:color w:val="4E9A06"/>
      <w:shd w:val="clear" w:fill="F8F8F8"/>
    </w:rPr>
  </w:style>
  <w:style w:type="character" w:customStyle="1" w:styleId="24">
    <w:name w:val="SpecialCharTok"/>
    <w:qFormat/>
    <w:uiPriority w:val="0"/>
    <w:rPr>
      <w:b/>
      <w:color w:val="CE5C00"/>
      <w:shd w:val="clear" w:fill="F8F8F8"/>
    </w:rPr>
  </w:style>
  <w:style w:type="character" w:customStyle="1" w:styleId="25">
    <w:name w:val="StringTok"/>
    <w:qFormat/>
    <w:uiPriority w:val="0"/>
    <w:rPr>
      <w:color w:val="4E9A06"/>
      <w:shd w:val="clear" w:fill="F8F8F8"/>
    </w:rPr>
  </w:style>
  <w:style w:type="character" w:customStyle="1" w:styleId="26">
    <w:name w:val="VerbatimStringTok"/>
    <w:qFormat/>
    <w:uiPriority w:val="0"/>
    <w:rPr>
      <w:color w:val="4E9A06"/>
      <w:shd w:val="clear" w:fill="F8F8F8"/>
    </w:rPr>
  </w:style>
  <w:style w:type="character" w:customStyle="1" w:styleId="27">
    <w:name w:val="SpecialStringTok"/>
    <w:qFormat/>
    <w:uiPriority w:val="0"/>
    <w:rPr>
      <w:color w:val="4E9A06"/>
      <w:shd w:val="clear" w:fill="F8F8F8"/>
    </w:rPr>
  </w:style>
  <w:style w:type="character" w:customStyle="1" w:styleId="28">
    <w:name w:val="ImportTok"/>
    <w:qFormat/>
    <w:uiPriority w:val="0"/>
    <w:rPr>
      <w:shd w:val="clear" w:fill="F8F8F8"/>
    </w:rPr>
  </w:style>
  <w:style w:type="character" w:customStyle="1" w:styleId="29">
    <w:name w:val="CommentTok"/>
    <w:qFormat/>
    <w:uiPriority w:val="0"/>
    <w:rPr>
      <w:i/>
      <w:color w:val="8F5902"/>
      <w:shd w:val="clear" w:fill="F8F8F8"/>
    </w:rPr>
  </w:style>
  <w:style w:type="character" w:customStyle="1" w:styleId="30">
    <w:name w:val="DocumentationTok"/>
    <w:qFormat/>
    <w:uiPriority w:val="0"/>
    <w:rPr>
      <w:b/>
      <w:i/>
      <w:color w:val="8F5902"/>
      <w:shd w:val="clear" w:fill="F8F8F8"/>
    </w:rPr>
  </w:style>
  <w:style w:type="character" w:customStyle="1" w:styleId="31">
    <w:name w:val="AnnotationTok"/>
    <w:qFormat/>
    <w:uiPriority w:val="0"/>
    <w:rPr>
      <w:b/>
      <w:i/>
      <w:color w:val="8F5902"/>
      <w:shd w:val="clear" w:fill="F8F8F8"/>
    </w:rPr>
  </w:style>
  <w:style w:type="character" w:customStyle="1" w:styleId="32">
    <w:name w:val="CommentVarTok"/>
    <w:qFormat/>
    <w:uiPriority w:val="0"/>
    <w:rPr>
      <w:b/>
      <w:i/>
      <w:color w:val="8F5902"/>
      <w:shd w:val="clear" w:fill="F8F8F8"/>
    </w:rPr>
  </w:style>
  <w:style w:type="character" w:customStyle="1" w:styleId="33">
    <w:name w:val="OtherTok"/>
    <w:qFormat/>
    <w:uiPriority w:val="0"/>
    <w:rPr>
      <w:color w:val="8F5902"/>
      <w:shd w:val="clear" w:fill="F8F8F8"/>
    </w:rPr>
  </w:style>
  <w:style w:type="character" w:customStyle="1" w:styleId="34">
    <w:name w:val="FunctionTok"/>
    <w:uiPriority w:val="0"/>
    <w:rPr>
      <w:b/>
      <w:color w:val="204A87"/>
      <w:shd w:val="clear" w:fill="F8F8F8"/>
    </w:rPr>
  </w:style>
  <w:style w:type="character" w:customStyle="1" w:styleId="35">
    <w:name w:val="VariableTok"/>
    <w:uiPriority w:val="0"/>
    <w:rPr>
      <w:color w:val="000000"/>
      <w:shd w:val="clear" w:fill="F8F8F8"/>
    </w:rPr>
  </w:style>
  <w:style w:type="character" w:customStyle="1" w:styleId="36">
    <w:name w:val="ControlFlowTok"/>
    <w:uiPriority w:val="0"/>
    <w:rPr>
      <w:b/>
      <w:color w:val="204A87"/>
      <w:shd w:val="clear" w:fill="F8F8F8"/>
    </w:rPr>
  </w:style>
  <w:style w:type="character" w:customStyle="1" w:styleId="37">
    <w:name w:val="OperatorTok"/>
    <w:uiPriority w:val="0"/>
    <w:rPr>
      <w:b/>
      <w:color w:val="CE5C00"/>
      <w:shd w:val="clear" w:fill="F8F8F8"/>
    </w:rPr>
  </w:style>
  <w:style w:type="character" w:customStyle="1" w:styleId="38">
    <w:name w:val="BuiltInTok"/>
    <w:uiPriority w:val="0"/>
    <w:rPr>
      <w:shd w:val="clear" w:fill="F8F8F8"/>
    </w:rPr>
  </w:style>
  <w:style w:type="character" w:customStyle="1" w:styleId="39">
    <w:name w:val="ExtensionTok"/>
    <w:uiPriority w:val="0"/>
    <w:rPr>
      <w:shd w:val="clear" w:fill="F8F8F8"/>
    </w:rPr>
  </w:style>
  <w:style w:type="character" w:customStyle="1" w:styleId="40">
    <w:name w:val="PreprocessorTok"/>
    <w:qFormat/>
    <w:uiPriority w:val="0"/>
    <w:rPr>
      <w:i/>
      <w:color w:val="8F5902"/>
      <w:shd w:val="clear" w:fill="F8F8F8"/>
    </w:rPr>
  </w:style>
  <w:style w:type="character" w:customStyle="1" w:styleId="41">
    <w:name w:val="AttributeTok"/>
    <w:qFormat/>
    <w:uiPriority w:val="0"/>
    <w:rPr>
      <w:color w:val="204A87"/>
      <w:shd w:val="clear" w:fill="F8F8F8"/>
    </w:rPr>
  </w:style>
  <w:style w:type="character" w:customStyle="1" w:styleId="42">
    <w:name w:val="RegionMarkerTok"/>
    <w:qFormat/>
    <w:uiPriority w:val="0"/>
    <w:rPr>
      <w:shd w:val="clear" w:fill="F8F8F8"/>
    </w:rPr>
  </w:style>
  <w:style w:type="character" w:customStyle="1" w:styleId="43">
    <w:name w:val="InformationTok"/>
    <w:uiPriority w:val="0"/>
    <w:rPr>
      <w:b/>
      <w:i/>
      <w:color w:val="8F5902"/>
      <w:shd w:val="clear" w:fill="F8F8F8"/>
    </w:rPr>
  </w:style>
  <w:style w:type="character" w:customStyle="1" w:styleId="44">
    <w:name w:val="WarningTok"/>
    <w:qFormat/>
    <w:uiPriority w:val="0"/>
    <w:rPr>
      <w:b/>
      <w:i/>
      <w:color w:val="8F5902"/>
      <w:shd w:val="clear" w:fill="F8F8F8"/>
    </w:rPr>
  </w:style>
  <w:style w:type="character" w:customStyle="1" w:styleId="45">
    <w:name w:val="AlertTok"/>
    <w:qFormat/>
    <w:uiPriority w:val="0"/>
    <w:rPr>
      <w:color w:val="EF2929"/>
      <w:shd w:val="clear" w:fill="F8F8F8"/>
    </w:rPr>
  </w:style>
  <w:style w:type="character" w:customStyle="1" w:styleId="46">
    <w:name w:val="ErrorTok"/>
    <w:qFormat/>
    <w:uiPriority w:val="0"/>
    <w:rPr>
      <w:b/>
      <w:color w:val="A40000"/>
      <w:shd w:val="clear" w:fill="F8F8F8"/>
    </w:rPr>
  </w:style>
  <w:style w:type="character" w:customStyle="1" w:styleId="47">
    <w:name w:val="NormalTok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7744</Words>
  <Characters>10623</Characters>
  <Lines>24</Lines>
  <Paragraphs>6</Paragraphs>
  <TotalTime>86</TotalTime>
  <ScaleCrop>false</ScaleCrop>
  <LinksUpToDate>false</LinksUpToDate>
  <CharactersWithSpaces>10880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2026-10-26T09:10:00Z</dcterms:created>
  <dc:creator>梁镇贤；陈宗波；温文辉；陈宇冲；刘亦达</dc:creator>
  <cp:keywords>确定性推理,贝叶斯推理,模糊推理,混合推理,股权风险</cp:keywords>
  <cp:lastModifiedBy> 小仙童</cp:lastModifiedBy>
  <dcterms:modified xsi:type="dcterms:W3CDTF">2026-10-26T13:47:31Z</dcterms:modified>
  <dc:subject>人工智能导论推理技术课程作业，第31组</dc:subject>
  <dc:title>面向企业股权风险评估的确定性与不确定性混合推理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eyJoZGlkIjoiMzBkZTBhZTY3ZTcyM2U1OWM5NmEzYzY5NTVjNWU1OTMiLCJ1c2VySWQiOiIxMjQyMjYyMTcxIn0=</vt:lpwstr>
  </property>
  <property fmtid="{D5CDD505-2E9C-101B-9397-08002B2CF9AE}" pid="3" name="KSOProductBuildVer">
    <vt:lpwstr>2052-12.1.0.29158</vt:lpwstr>
  </property>
  <property fmtid="{D5CDD505-2E9C-101B-9397-08002B2CF9AE}" pid="4" name="ICV">
    <vt:lpwstr>027775301B3E48088C9FDF27AE6891C1_12</vt:lpwstr>
  </property>
</Properties>
</file>