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47FF0">
      <w:pPr>
        <w:spacing w:after="180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44"/>
        </w:rPr>
        <w:t>创新点说明</w:t>
      </w:r>
    </w:p>
    <w:p w14:paraId="715F2DE1">
      <w:pPr>
        <w:spacing w:after="180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6"/>
        </w:rPr>
        <w:t>面向企业股权风险评估的确定性与不确定性混合推理</w:t>
      </w:r>
    </w:p>
    <w:p w14:paraId="1B91630E">
      <w:pPr>
        <w:ind w:firstLine="0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第31组　梁镇贤、陈宗波、温文辉、陈宇冲、刘亦达</w:t>
      </w:r>
    </w:p>
    <w:p w14:paraId="2CA93DF5">
      <w:pPr>
        <w:pStyle w:val="3"/>
        <w:rPr>
          <w:color w:val="auto"/>
        </w:rPr>
      </w:pPr>
      <w:r>
        <w:rPr>
          <w:color w:val="auto"/>
        </w:rPr>
        <w:t>一、问题与创新定位</w:t>
      </w:r>
    </w:p>
    <w:p w14:paraId="3D65D08A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股权、交易和担保关系可以形成明确的结构证明，但输入关系可能缺失或错误；概率与模糊评分能够吸收不确定指标，却不能代替规则证明。若将两类结果直接合成一个风险分数，就难以辨别结论来自证据、模型还是人为锁定。</w:t>
      </w:r>
    </w:p>
    <w:p w14:paraId="2E7D8B11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本项目选择课程的“确定性＋不确定性混合推理”方向，将结构证明、数值评分和最终复核行动分开保存，在同一教学案例上比较不锁定、结构硬锁定与验证集校准三种策略。创新集中于可审计的融合流程、行动校准和公平对照；半朴素求值、Bayes与Mamdani属于已有方法的复现和适配，不宣称首创这些算法。</w:t>
      </w:r>
    </w:p>
    <w:p w14:paraId="57C083A6">
      <w:pPr>
        <w:pStyle w:val="3"/>
        <w:rPr>
          <w:color w:val="auto"/>
        </w:rPr>
      </w:pPr>
      <w:r>
        <w:rPr>
          <w:color w:val="auto"/>
        </w:rPr>
        <w:t>二、核心设计：保留证明，校准行动</w:t>
      </w:r>
    </w:p>
    <w:p w14:paraId="62137D35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令 A 表示由观测关系图推出的高复核预警，s∈[0,1] 表示共同评分模型的输出，η为额外结构行动所需的最低评分支持。三种策略使用相同输入事实、相同原始评分和0.5分类阈值，仅改变最终行动：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515"/>
        <w:gridCol w:w="4309"/>
      </w:tblGrid>
      <w:tr w14:paraId="2DBF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31AB4CAB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策略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43DED82E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复核行动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6AB35B09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可追溯信息</w:t>
            </w:r>
          </w:p>
        </w:tc>
      </w:tr>
      <w:tr w14:paraId="294D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2E1CFE3A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不锁定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7DAD4B9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dU = 1[s ≥ 0.5]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7B845F34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原始评分与结构事实</w:t>
            </w:r>
          </w:p>
        </w:tc>
      </w:tr>
      <w:tr w14:paraId="0BF6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265E2882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结构硬锁定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2D4F7C62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dL = dU ∨ A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5ED0F95A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强制保留结构预警</w:t>
            </w:r>
          </w:p>
        </w:tc>
      </w:tr>
      <w:tr w14:paraId="73BF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20F9A399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校准复核</w:t>
            </w:r>
          </w:p>
        </w:tc>
        <w:tc>
          <w:tcPr>
            <w:tcW w:w="3515" w:type="dxa"/>
            <w:shd w:val="clear" w:color="auto" w:fill="auto"/>
            <w:vAlign w:val="center"/>
          </w:tcPr>
          <w:p w14:paraId="7F6037B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dC = dU ∨ (A ∧ s ≥ η)</w:t>
            </w:r>
          </w:p>
        </w:tc>
        <w:tc>
          <w:tcPr>
            <w:tcW w:w="4309" w:type="dxa"/>
            <w:shd w:val="clear" w:color="auto" w:fill="auto"/>
            <w:vAlign w:val="center"/>
          </w:tcPr>
          <w:p w14:paraId="31F8DE8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保留证明，允许暂缓额外行动</w:t>
            </w:r>
          </w:p>
        </w:tc>
      </w:tr>
    </w:tbl>
    <w:p w14:paraId="0322396E">
      <w:pPr>
        <w:spacing w:after="0"/>
        <w:rPr>
          <w:color w:val="auto"/>
        </w:rPr>
      </w:pPr>
    </w:p>
    <w:p w14:paraId="3390804D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校准策略从{0、0.15、0.25、0.35、0.45、0.5}选择η，在预设验证扰动上最小化(FP＋2FN)/N；代价相同则选择较低η。每个种子的320条校准记录均来自验证阶段，测试标签不参与选择。三个种子7、19、43分别选出0.25、0.15、0，说明校准可能退化为硬锁定，不能假定每次都改善结果。</w:t>
      </w:r>
    </w:p>
    <w:p w14:paraId="1995C36F">
      <w:pPr>
        <w:ind w:firstLine="460"/>
        <w:jc w:val="both"/>
        <w:rPr>
          <w:color w:val="auto"/>
          <w:sz w:val="23"/>
          <w:szCs w:val="23"/>
        </w:rPr>
      </w:pPr>
      <w:r>
        <w:rPr>
          <w:rFonts w:ascii="Times New Roman" w:hAnsi="Times New Roman" w:eastAsia="宋体"/>
          <w:b w:val="0"/>
          <w:color w:val="auto"/>
          <w:sz w:val="23"/>
          <w:szCs w:val="23"/>
        </w:rPr>
        <w:t>实现将score与review_required分开，并保存provided_facts、retained_proofs和策略选择记录。暂缓复核不会将已证线索改称“未证明”，结构相容性也不等同于真实风险准确率。</w:t>
      </w:r>
    </w:p>
    <w:p w14:paraId="4AD7EE6A">
      <w:pPr>
        <w:rPr>
          <w:color w:val="auto"/>
          <w:sz w:val="21"/>
          <w:szCs w:val="21"/>
        </w:rPr>
      </w:pPr>
      <w:r>
        <w:rPr>
          <w:color w:val="auto"/>
          <w:sz w:val="21"/>
          <w:szCs w:val="21"/>
        </w:rPr>
        <w:br w:type="page"/>
      </w:r>
    </w:p>
    <w:p w14:paraId="28CA00FC">
      <w:pPr>
        <w:pStyle w:val="3"/>
        <w:rPr>
          <w:color w:val="auto"/>
        </w:rPr>
      </w:pPr>
      <w:r>
        <w:rPr>
          <w:color w:val="auto"/>
        </w:rPr>
        <w:t>三、量化验证：误报、召回与效率分别评价</w:t>
      </w:r>
    </w:p>
    <w:p w14:paraId="73B51B18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图级实验以完整关系图为输入，覆盖3个种子、6种观测条件和11种方法，共保存23,760条决策。下表使用20%错误闭环条件下的同一自适应评分模型；各单元为三个种子的均值±样本标准差。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438"/>
        <w:gridCol w:w="2438"/>
        <w:gridCol w:w="2948"/>
      </w:tblGrid>
      <w:tr w14:paraId="1E1A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4989660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行动策略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D53FD7F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误报率／%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D3E2B74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召回率／%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15E52E41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F1</w:t>
            </w:r>
          </w:p>
        </w:tc>
      </w:tr>
      <w:tr w14:paraId="77915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00B48132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不锁定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90C2971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21.01±7.09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33BB969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79.89±5.99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22C0756A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0.6992±0.1398</w:t>
            </w:r>
          </w:p>
        </w:tc>
      </w:tr>
      <w:tr w14:paraId="1592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6D5157C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硬锁定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154F046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43.94±4.87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190CC4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87.71±5.83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79DD2BDE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0.6144±0.1315</w:t>
            </w:r>
          </w:p>
        </w:tc>
      </w:tr>
      <w:tr w14:paraId="2756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auto"/>
            <w:vAlign w:val="center"/>
          </w:tcPr>
          <w:p w14:paraId="76F141E2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校准复核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B4A818C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35.28±17.60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7513664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86.16±4.06</w:t>
            </w:r>
          </w:p>
        </w:tc>
        <w:tc>
          <w:tcPr>
            <w:tcW w:w="2948" w:type="dxa"/>
            <w:shd w:val="clear" w:color="auto" w:fill="auto"/>
            <w:vAlign w:val="center"/>
          </w:tcPr>
          <w:p w14:paraId="0C0718EE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0.6549±0.1788</w:t>
            </w:r>
          </w:p>
        </w:tc>
      </w:tr>
    </w:tbl>
    <w:p w14:paraId="788D2A9E">
      <w:pPr>
        <w:spacing w:after="0"/>
        <w:rPr>
          <w:color w:val="auto"/>
        </w:rPr>
      </w:pPr>
    </w:p>
    <w:p w14:paraId="7CB25C17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校准相对硬锁定的误报率由43.94%降至35.28%，减少8.66个百分点；F1由0.6144升至0.6549，召回率则由87.71%降至86.16%。按相同漏报代价计算的平均决策代价由0.3750降至0.3306，但仍高于不锁定的0.2694。结果体现了复核负担与漏报之间的取舍。</w:t>
      </w:r>
    </w:p>
    <w:p w14:paraId="0A1C49DB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校准仍未全面超过不锁定：其误报率更高，F1更低；真实结构预警保留率也从硬锁定的100%降至94.41%。三个种子的波动较大，本实验只报告描述性结果，不作统计显著性或真实企业有效性的宣称。</w:t>
      </w:r>
    </w:p>
    <w:p w14:paraId="275235E2">
      <w:pPr>
        <w:pStyle w:val="4"/>
        <w:rPr>
          <w:color w:val="auto"/>
        </w:rPr>
      </w:pPr>
      <w:r>
        <w:rPr>
          <w:color w:val="auto"/>
        </w:rPr>
        <w:t>确定性优化：同闭包条件下比较计算开销</w:t>
      </w:r>
    </w:p>
    <w:p w14:paraId="040034F0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基准覆盖1、4、8、16组结构，每种方法重复3次。16组时三种算法均得到3,031条事实、20轮迭代；先核对闭包一致，再比较候选检查与耗时。下表为最新提交源码对应的同批实测。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628"/>
      </w:tblGrid>
      <w:tr w14:paraId="31F2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auto"/>
            <w:vAlign w:val="center"/>
          </w:tcPr>
          <w:p w14:paraId="2A23C00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方法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4092E7C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平均耗时±标准差／ms</w:t>
            </w:r>
          </w:p>
        </w:tc>
        <w:tc>
          <w:tcPr>
            <w:tcW w:w="3628" w:type="dxa"/>
            <w:shd w:val="clear" w:color="auto" w:fill="auto"/>
            <w:vAlign w:val="center"/>
          </w:tcPr>
          <w:p w14:paraId="465734CA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候选检查次数</w:t>
            </w:r>
          </w:p>
        </w:tc>
      </w:tr>
      <w:tr w14:paraId="218C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vAlign w:val="center"/>
          </w:tcPr>
          <w:p w14:paraId="5C7A545E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全扫描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E8B33CF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49,921.77±1,762.22</w:t>
            </w:r>
          </w:p>
        </w:tc>
        <w:tc>
          <w:tcPr>
            <w:tcW w:w="3628" w:type="dxa"/>
            <w:shd w:val="clear" w:color="auto" w:fill="auto"/>
            <w:vAlign w:val="center"/>
          </w:tcPr>
          <w:p w14:paraId="57DE72B5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149,338,488</w:t>
            </w:r>
          </w:p>
        </w:tc>
      </w:tr>
      <w:tr w14:paraId="4F75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vAlign w:val="center"/>
          </w:tcPr>
          <w:p w14:paraId="7D76CF45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索引朴素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E63916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1,062.37±16.44</w:t>
            </w:r>
          </w:p>
        </w:tc>
        <w:tc>
          <w:tcPr>
            <w:tcW w:w="3628" w:type="dxa"/>
            <w:shd w:val="clear" w:color="auto" w:fill="auto"/>
            <w:vAlign w:val="center"/>
          </w:tcPr>
          <w:p w14:paraId="096618C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84,734</w:t>
            </w:r>
          </w:p>
        </w:tc>
      </w:tr>
      <w:tr w14:paraId="75F4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auto"/>
            <w:vAlign w:val="center"/>
          </w:tcPr>
          <w:p w14:paraId="3AAB0C5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半朴素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319CF28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181.41±2.49</w:t>
            </w:r>
          </w:p>
        </w:tc>
        <w:tc>
          <w:tcPr>
            <w:tcW w:w="3628" w:type="dxa"/>
            <w:shd w:val="clear" w:color="auto" w:fill="auto"/>
            <w:vAlign w:val="center"/>
          </w:tcPr>
          <w:p w14:paraId="3124454F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8,413</w:t>
            </w:r>
          </w:p>
        </w:tc>
      </w:tr>
    </w:tbl>
    <w:p w14:paraId="009AFA5D">
      <w:pPr>
        <w:spacing w:after="0"/>
        <w:rPr>
          <w:color w:val="auto"/>
        </w:rPr>
      </w:pPr>
    </w:p>
    <w:p w14:paraId="5CC0D2B6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半朴素通过增量事实驱动减少重复连接，相对索引朴素耗时从1,062.37 ms降至181.41 ms，加速约5.86倍；候选检查从84,734降至8,413。加速来自计算量减少，未改变迭代轮数或闭包语义；具体耗时受硬件和负载影响。</w:t>
      </w:r>
    </w:p>
    <w:p w14:paraId="11458CF3">
      <w:pPr>
        <w:rPr>
          <w:color w:val="auto"/>
        </w:rPr>
      </w:pPr>
      <w:r>
        <w:rPr>
          <w:color w:val="auto"/>
        </w:rPr>
        <w:br w:type="page"/>
      </w:r>
    </w:p>
    <w:p w14:paraId="56297028">
      <w:pPr>
        <w:pStyle w:val="3"/>
        <w:rPr>
          <w:color w:val="auto"/>
        </w:rPr>
      </w:pPr>
      <w:r>
        <w:rPr>
          <w:color w:val="auto"/>
        </w:rPr>
        <w:t>四、不确定性优化与消融解释</w:t>
      </w:r>
    </w:p>
    <w:p w14:paraId="14A8814E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两种主方法均使用同一企业指标。Bayes从训练集估计先验与CPT；Mamdani在训练集拟合15组候选参数，缺测时向中性值收缩。权重和策略在测试前冻结。指标实验覆盖3个种子、8种条件，每种子使用1,000条训练、300条验证和600条测试样本。</w:t>
      </w:r>
    </w:p>
    <w:p w14:paraId="41330977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清洁条件下，学习Bayes的F1由手工参数的0.7767提高至0.8575；拟合Mamdani的F1为0.7053。最新单样本耗时均值分别为6.7 μs和245.8 μs。严重噪声σ=0.35且缺测40%时，学习Bayes的F1降至0.6174，参数学习并未消除分布扰动的影响。</w:t>
      </w:r>
    </w:p>
    <w:p w14:paraId="127FD830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18条消融操作中，12条为移除零权重组件后不变，6条为显式回退基线。清洁指标实验的调优权重退化为纯Bayes，因此不把相同F1解释为融合增益，也不把回退后的差值冒充组件边际贡献。D-S证据冲突折扣和循环权益求解是额外扩展，未替代两种主方法或本项混合创新。</w:t>
      </w:r>
    </w:p>
    <w:p w14:paraId="52ED1F9E">
      <w:pPr>
        <w:pStyle w:val="3"/>
        <w:rPr>
          <w:color w:val="auto"/>
        </w:rPr>
      </w:pPr>
      <w:r>
        <w:rPr>
          <w:color w:val="auto"/>
        </w:rPr>
        <w:t>五、工程实现与复现依据</w:t>
      </w:r>
    </w:p>
    <w:p w14:paraId="110D2CAD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最新提交代码兼容v2、v3训练模型的命令行和网页重载，补充了算法及参数选择注释；204项项目测试和8组独立数学参照检查通过。完整保存结果验收已重放201,600次指标评分、43,200次D-S评分和23,760条图级决策；本说明与新版报告使用同一源码及结果快照。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483"/>
      </w:tblGrid>
      <w:tr w14:paraId="7A173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auto"/>
            <w:vAlign w:val="center"/>
          </w:tcPr>
          <w:p w14:paraId="6D65976A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内容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642E912C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源码／结果位置（相对源码目录）</w:t>
            </w:r>
          </w:p>
        </w:tc>
      </w:tr>
      <w:tr w14:paraId="4E77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auto"/>
            <w:vAlign w:val="center"/>
          </w:tcPr>
          <w:p w14:paraId="586C57C0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结构求值与优化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497DBA19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experiments/lab02/deterministic/forward.py</w:t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outputs/lab02/ben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chmarks/forward_summary.csv</w:t>
            </w:r>
          </w:p>
        </w:tc>
      </w:tr>
      <w:tr w14:paraId="01EF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auto"/>
            <w:vAlign w:val="center"/>
          </w:tcPr>
          <w:p w14:paraId="03D2715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评分、决策与校准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6544AB03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experiments/lab02/hybrid/model.py</w:t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experiments/lab02/hybrid/decision.py</w:t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experiments/lab02/hybrid/calibration.py</w:t>
            </w:r>
          </w:p>
        </w:tc>
      </w:tr>
      <w:tr w14:paraId="5F8A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auto"/>
            <w:vAlign w:val="center"/>
          </w:tcPr>
          <w:p w14:paraId="2A962D48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图级策略验证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563E44FD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outputs/lab02/end_to_end/summary.csv</w:t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outputs/lab02/end_to_end/models.json</w:t>
            </w:r>
          </w:p>
        </w:tc>
      </w:tr>
      <w:tr w14:paraId="5C07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auto"/>
            <w:vAlign w:val="center"/>
          </w:tcPr>
          <w:p w14:paraId="30701C8F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参数及消融</w:t>
            </w:r>
          </w:p>
        </w:tc>
        <w:tc>
          <w:tcPr>
            <w:tcW w:w="7483" w:type="dxa"/>
            <w:shd w:val="clear" w:color="auto" w:fill="auto"/>
            <w:vAlign w:val="center"/>
          </w:tcPr>
          <w:p w14:paraId="65032CD9">
            <w:pPr>
              <w:spacing w:before="100" w:after="100" w:line="269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outputs/lab02/experiments/summary.csv</w:t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color w:val="auto"/>
                <w:sz w:val="21"/>
              </w:rPr>
              <w:t>outputs/lab02/experiments/ablations.csv</w:t>
            </w:r>
          </w:p>
        </w:tc>
      </w:tr>
    </w:tbl>
    <w:p w14:paraId="2B9A5A87">
      <w:pPr>
        <w:spacing w:after="0"/>
        <w:rPr>
          <w:color w:val="auto"/>
        </w:rPr>
      </w:pPr>
    </w:p>
    <w:p w14:paraId="1A13B217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在源码目录中，双击“打开网站.cmd”或“启动实验二.cmd”进入网站；“运行实验.cmd”菜单可重新生成完整结果。命令行使用python main.py lab02 all生成实验，再以python main.py lab02 verify --full-replay核对结果。环境配置与结果解释见新版实验报告附录B，首次生成结果和安装依赖需要等待。</w:t>
      </w:r>
    </w:p>
    <w:p w14:paraId="04E48544">
      <w:pPr>
        <w:pStyle w:val="3"/>
        <w:rPr>
          <w:color w:val="auto"/>
        </w:rPr>
      </w:pPr>
      <w:r>
        <w:rPr>
          <w:color w:val="auto"/>
        </w:rPr>
        <w:t>六、适用范围与后续工作</w:t>
      </w:r>
    </w:p>
    <w:p w14:paraId="347C07A6">
      <w:pPr>
        <w:ind w:firstLine="460"/>
        <w:jc w:val="both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3"/>
        </w:rPr>
        <w:t>全部实体、输入关系和高复核需求标签均为教学构造，控制候选、经济权益、模型评分与复核行动各有语义。当前贡献是课程场景中的可解释实现与可验证对照，不能直接用于法律控制认定或真实企业风险结论。后续应在有授权且可核验的数据上测试跨分布稳定性、结构事实可靠性及实际人工复核成本。</w:t>
      </w:r>
    </w:p>
    <w:sectPr>
      <w:headerReference r:id="rId5" w:type="default"/>
      <w:footerReference r:id="rId6" w:type="default"/>
      <w:pgSz w:w="11906" w:h="16838"/>
      <w:pgMar w:top="1162" w:right="1219" w:bottom="1162" w:left="1219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1F588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1C4F2">
    <w:pPr>
      <w:pStyle w:val="2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15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12" w:lineRule="auto"/>
    </w:pPr>
    <w:rPr>
      <w:rFonts w:ascii="Times New Roman" w:hAnsi="Times New Roman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120"/>
      <w:outlineLvl w:val="0"/>
    </w:pPr>
    <w:rPr>
      <w:rFonts w:asciiTheme="majorHAnsi" w:hAnsiTheme="majorHAnsi" w:eastAsiaTheme="majorEastAsia" w:cstheme="majorBidi"/>
      <w:b/>
      <w:bCs/>
      <w:color w:val="9A4728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9A472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1922</Words>
  <Characters>2783</Characters>
  <Lines>0</Lines>
  <Paragraphs>0</Paragraphs>
  <TotalTime>1</TotalTime>
  <ScaleCrop>false</ScaleCrop>
  <LinksUpToDate>false</LinksUpToDate>
  <CharactersWithSpaces>2814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梁镇贤；陈宗波；温文辉；陈宇冲；刘亦达</dc:creator>
  <dc:description>generated by python-docx</dc:description>
  <cp:keywords>确定性推理,不确定性推理,可审计混合推理,校准复核</cp:keywords>
  <cp:lastModifiedBy>Administrator</cp:lastModifiedBy>
  <dcterms:modified xsi:type="dcterms:W3CDTF">2026-10-26T12:19:48Z</dcterms:modified>
  <dc:subject>面向企业股权风险评估的确定性与不确定性混合推理</dc:subject>
  <dc:title>第31组_创新点说明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eyJoZGlkIjoiMzBkZTBhZTY3ZTcyM2U1OWM5NmEzYzY5NTVjNWU1OTMiLCJ1c2VySWQiOiIxMjQyMjYyMTcxIn0=</vt:lpwstr>
  </property>
  <property fmtid="{D5CDD505-2E9C-101B-9397-08002B2CF9AE}" pid="3" name="KSOProductBuildVer">
    <vt:lpwstr>2052-12.1.0.29158</vt:lpwstr>
  </property>
  <property fmtid="{D5CDD505-2E9C-101B-9397-08002B2CF9AE}" pid="4" name="ICV">
    <vt:lpwstr>CBA5627A2AF248709BFE8D4D70518EF4_12</vt:lpwstr>
  </property>
</Properties>
</file>