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DD8" w:rsidRDefault="00BD0A7E" w:rsidP="00F61F85">
      <w:pPr>
        <w:rPr>
          <w:rFonts w:cs="Times New Roman"/>
          <w:b/>
          <w:szCs w:val="24"/>
          <w:lang w:val="en-US"/>
        </w:rPr>
      </w:pPr>
      <w:r w:rsidRPr="00344F2E">
        <w:rPr>
          <w:rFonts w:cs="Times New Roman"/>
          <w:b/>
          <w:szCs w:val="24"/>
          <w:lang w:val="en-US"/>
        </w:rPr>
        <w:t xml:space="preserve">Temporal and </w:t>
      </w:r>
      <w:r>
        <w:rPr>
          <w:rFonts w:cs="Times New Roman"/>
          <w:b/>
          <w:szCs w:val="24"/>
          <w:lang w:val="en-US"/>
        </w:rPr>
        <w:t>s</w:t>
      </w:r>
      <w:r w:rsidRPr="00344F2E">
        <w:rPr>
          <w:rFonts w:cs="Times New Roman"/>
          <w:b/>
          <w:szCs w:val="24"/>
          <w:lang w:val="en-US"/>
        </w:rPr>
        <w:t xml:space="preserve">patial </w:t>
      </w:r>
      <w:r>
        <w:rPr>
          <w:rFonts w:cs="Times New Roman"/>
          <w:b/>
          <w:szCs w:val="24"/>
          <w:lang w:val="en-US"/>
        </w:rPr>
        <w:t>patterns of d</w:t>
      </w:r>
      <w:r w:rsidRPr="00344F2E">
        <w:rPr>
          <w:rFonts w:cs="Times New Roman"/>
          <w:b/>
          <w:szCs w:val="24"/>
          <w:lang w:val="en-US"/>
        </w:rPr>
        <w:t xml:space="preserve">ecline in Ontario’s </w:t>
      </w:r>
      <w:r>
        <w:rPr>
          <w:rFonts w:cs="Times New Roman"/>
          <w:b/>
          <w:szCs w:val="24"/>
          <w:lang w:val="en-US"/>
        </w:rPr>
        <w:t>h</w:t>
      </w:r>
      <w:r w:rsidRPr="00344F2E">
        <w:rPr>
          <w:rFonts w:cs="Times New Roman"/>
          <w:b/>
          <w:szCs w:val="24"/>
          <w:lang w:val="en-US"/>
        </w:rPr>
        <w:t xml:space="preserve">ardwood </w:t>
      </w:r>
      <w:r>
        <w:rPr>
          <w:rFonts w:cs="Times New Roman"/>
          <w:b/>
          <w:szCs w:val="24"/>
          <w:lang w:val="en-US"/>
        </w:rPr>
        <w:t>f</w:t>
      </w:r>
      <w:r w:rsidRPr="00344F2E">
        <w:rPr>
          <w:rFonts w:cs="Times New Roman"/>
          <w:b/>
          <w:szCs w:val="24"/>
          <w:lang w:val="en-US"/>
        </w:rPr>
        <w:t>orests</w:t>
      </w:r>
    </w:p>
    <w:p w:rsidR="00BD0A7E" w:rsidRPr="00FC1FBB" w:rsidRDefault="00BD0A7E" w:rsidP="00F61F85">
      <w:pPr>
        <w:rPr>
          <w:rFonts w:cs="Times New Roman"/>
          <w:sz w:val="16"/>
          <w:szCs w:val="16"/>
          <w:lang w:val="en-US"/>
        </w:rPr>
      </w:pPr>
    </w:p>
    <w:p w:rsidR="00BD0A7E" w:rsidRDefault="00BD0A7E" w:rsidP="00BD0A7E">
      <w:pPr>
        <w:rPr>
          <w:rFonts w:eastAsia="Times New Roman" w:cs="Times New Roman"/>
          <w:szCs w:val="24"/>
        </w:rPr>
      </w:pPr>
      <w:r>
        <w:t>The Decline Index (DI) and decline severity classes were</w:t>
      </w:r>
      <w:r>
        <w:rPr>
          <w:rFonts w:cs="Times New Roman"/>
          <w:szCs w:val="24"/>
          <w:lang w:val="en-US"/>
        </w:rPr>
        <w:t xml:space="preserve"> used to quantify hardwood crown biological responses to</w:t>
      </w:r>
      <w:r>
        <w:t xml:space="preserve"> cumulative stresses. </w:t>
      </w:r>
      <w:r>
        <w:rPr>
          <w:rFonts w:cs="Times New Roman"/>
          <w:szCs w:val="24"/>
          <w:lang w:val="en-US"/>
        </w:rPr>
        <w:t xml:space="preserve">The </w:t>
      </w:r>
      <w:r>
        <w:t>DI</w:t>
      </w:r>
      <w:r>
        <w:rPr>
          <w:rFonts w:cs="Times New Roman"/>
          <w:szCs w:val="24"/>
          <w:lang w:val="en-US"/>
        </w:rPr>
        <w:t xml:space="preserve"> was </w:t>
      </w:r>
      <w:r>
        <w:t xml:space="preserve">a cumulative forest stress state </w:t>
      </w:r>
      <w:r>
        <w:rPr>
          <w:rFonts w:cs="Times New Roman"/>
          <w:szCs w:val="24"/>
          <w:lang w:val="en-US"/>
        </w:rPr>
        <w:t xml:space="preserve">indicator that was developed to quantify visual </w:t>
      </w:r>
      <w:r w:rsidRPr="00050202">
        <w:rPr>
          <w:rFonts w:cs="Times New Roman"/>
          <w:szCs w:val="24"/>
          <w:lang w:val="en-US"/>
        </w:rPr>
        <w:t xml:space="preserve">symptoms of </w:t>
      </w:r>
      <w:r>
        <w:rPr>
          <w:rFonts w:cs="Times New Roman"/>
          <w:szCs w:val="24"/>
          <w:lang w:val="en-US"/>
        </w:rPr>
        <w:t>tree crown stress</w:t>
      </w:r>
      <w:r w:rsidRPr="00050202">
        <w:rPr>
          <w:rFonts w:cs="Times New Roman"/>
          <w:szCs w:val="24"/>
          <w:lang w:val="en-US"/>
        </w:rPr>
        <w:t xml:space="preserve"> </w:t>
      </w:r>
      <w:r>
        <w:rPr>
          <w:rFonts w:cs="Times New Roman"/>
          <w:szCs w:val="24"/>
          <w:lang w:val="en-US"/>
        </w:rPr>
        <w:t xml:space="preserve">from 0 (no decline) to 100 (maximum decline) (see formula below) (McIlveen </w:t>
      </w:r>
      <w:r w:rsidRPr="00BD0A7E">
        <w:rPr>
          <w:rFonts w:cs="Times New Roman"/>
          <w:i/>
          <w:szCs w:val="24"/>
          <w:lang w:val="en-US"/>
        </w:rPr>
        <w:t>et al.</w:t>
      </w:r>
      <w:r>
        <w:rPr>
          <w:rFonts w:cs="Times New Roman"/>
          <w:szCs w:val="24"/>
          <w:lang w:val="en-US"/>
        </w:rPr>
        <w:t xml:space="preserve"> 1989)</w:t>
      </w:r>
      <w:r w:rsidRPr="00050202">
        <w:rPr>
          <w:rFonts w:cs="Times New Roman"/>
          <w:szCs w:val="24"/>
          <w:lang w:val="en-US"/>
        </w:rPr>
        <w:t xml:space="preserve">. </w:t>
      </w:r>
      <w:r w:rsidR="00FC1FBB">
        <w:rPr>
          <w:rFonts w:cs="Times New Roman"/>
          <w:szCs w:val="24"/>
          <w:lang w:val="en-US"/>
        </w:rPr>
        <w:t xml:space="preserve">Crown dieback was weighted heavier in the DI formula because this metric indicates persistent stress effects, whereas foliage symptoms indicate short-term stress effects. The </w:t>
      </w:r>
      <w:r>
        <w:rPr>
          <w:rFonts w:eastAsia="Times New Roman" w:cs="Times New Roman"/>
          <w:szCs w:val="24"/>
        </w:rPr>
        <w:t>DI</w:t>
      </w:r>
      <w:r w:rsidRPr="00E47EBE">
        <w:rPr>
          <w:rFonts w:eastAsia="Times New Roman" w:cs="Times New Roman"/>
          <w:szCs w:val="24"/>
        </w:rPr>
        <w:t xml:space="preserve"> </w:t>
      </w:r>
      <w:r>
        <w:rPr>
          <w:rFonts w:eastAsia="Times New Roman" w:cs="Times New Roman"/>
          <w:szCs w:val="24"/>
        </w:rPr>
        <w:t xml:space="preserve">values </w:t>
      </w:r>
      <w:r w:rsidRPr="00E47EBE">
        <w:rPr>
          <w:rFonts w:eastAsia="Times New Roman" w:cs="Times New Roman"/>
          <w:szCs w:val="24"/>
        </w:rPr>
        <w:t>w</w:t>
      </w:r>
      <w:r>
        <w:rPr>
          <w:rFonts w:eastAsia="Times New Roman" w:cs="Times New Roman"/>
          <w:szCs w:val="24"/>
        </w:rPr>
        <w:t>ere</w:t>
      </w:r>
      <w:r w:rsidRPr="00E47EBE">
        <w:rPr>
          <w:rFonts w:eastAsia="Times New Roman" w:cs="Times New Roman"/>
          <w:szCs w:val="24"/>
        </w:rPr>
        <w:t xml:space="preserve"> divided into </w:t>
      </w:r>
      <w:r>
        <w:rPr>
          <w:rFonts w:eastAsia="Times New Roman" w:cs="Times New Roman"/>
          <w:szCs w:val="24"/>
        </w:rPr>
        <w:t>incidence</w:t>
      </w:r>
      <w:r w:rsidRPr="00E47EBE">
        <w:rPr>
          <w:rFonts w:eastAsia="Times New Roman" w:cs="Times New Roman"/>
          <w:szCs w:val="24"/>
        </w:rPr>
        <w:t xml:space="preserve"> classes to indicate decline</w:t>
      </w:r>
      <w:r>
        <w:rPr>
          <w:rFonts w:eastAsia="Times New Roman" w:cs="Times New Roman"/>
          <w:szCs w:val="24"/>
        </w:rPr>
        <w:t xml:space="preserve"> severity (McLaughlin </w:t>
      </w:r>
      <w:r w:rsidRPr="008B05C1">
        <w:rPr>
          <w:rFonts w:eastAsia="Times New Roman" w:cs="Times New Roman"/>
          <w:i/>
          <w:szCs w:val="24"/>
        </w:rPr>
        <w:t>et al</w:t>
      </w:r>
      <w:r w:rsidRPr="00245988">
        <w:rPr>
          <w:rFonts w:eastAsia="Times New Roman" w:cs="Times New Roman"/>
          <w:szCs w:val="24"/>
        </w:rPr>
        <w:t>.</w:t>
      </w:r>
      <w:r>
        <w:rPr>
          <w:rFonts w:eastAsia="Times New Roman" w:cs="Times New Roman"/>
          <w:szCs w:val="24"/>
        </w:rPr>
        <w:t xml:space="preserve"> 1992b)</w:t>
      </w:r>
      <w:r w:rsidRPr="00E47EBE">
        <w:rPr>
          <w:rFonts w:eastAsia="Times New Roman" w:cs="Times New Roman"/>
          <w:szCs w:val="24"/>
        </w:rPr>
        <w:t>: Very Low (&lt; 1</w:t>
      </w:r>
      <w:r>
        <w:rPr>
          <w:rFonts w:eastAsia="Times New Roman" w:cs="Times New Roman"/>
          <w:szCs w:val="24"/>
        </w:rPr>
        <w:t>0</w:t>
      </w:r>
      <w:r w:rsidRPr="00E47EBE">
        <w:rPr>
          <w:rFonts w:eastAsia="Times New Roman" w:cs="Times New Roman"/>
          <w:szCs w:val="24"/>
        </w:rPr>
        <w:t>), Low (1</w:t>
      </w:r>
      <w:r>
        <w:rPr>
          <w:rFonts w:eastAsia="Times New Roman" w:cs="Times New Roman"/>
          <w:szCs w:val="24"/>
        </w:rPr>
        <w:t xml:space="preserve">0 </w:t>
      </w:r>
      <w:r w:rsidRPr="00E47EBE">
        <w:rPr>
          <w:rFonts w:eastAsia="Times New Roman" w:cs="Times New Roman"/>
          <w:szCs w:val="24"/>
        </w:rPr>
        <w:t>-</w:t>
      </w:r>
      <w:r>
        <w:rPr>
          <w:rFonts w:eastAsia="Times New Roman" w:cs="Times New Roman"/>
          <w:szCs w:val="24"/>
        </w:rPr>
        <w:t xml:space="preserve"> &lt;</w:t>
      </w:r>
      <w:r w:rsidRPr="00E47EBE">
        <w:rPr>
          <w:rFonts w:eastAsia="Times New Roman" w:cs="Times New Roman"/>
          <w:szCs w:val="24"/>
        </w:rPr>
        <w:t>15), Moderate (</w:t>
      </w:r>
      <w:r>
        <w:rPr>
          <w:rFonts w:eastAsia="Times New Roman" w:cs="Times New Roman"/>
          <w:szCs w:val="24"/>
        </w:rPr>
        <w:t xml:space="preserve">15 </w:t>
      </w:r>
      <w:r w:rsidRPr="00E47EBE">
        <w:rPr>
          <w:rFonts w:eastAsia="Times New Roman" w:cs="Times New Roman"/>
          <w:szCs w:val="24"/>
        </w:rPr>
        <w:t>-</w:t>
      </w:r>
      <w:r>
        <w:rPr>
          <w:rFonts w:eastAsia="Times New Roman" w:cs="Times New Roman"/>
          <w:szCs w:val="24"/>
        </w:rPr>
        <w:t xml:space="preserve"> &lt;</w:t>
      </w:r>
      <w:r w:rsidRPr="00E47EBE">
        <w:rPr>
          <w:rFonts w:eastAsia="Times New Roman" w:cs="Times New Roman"/>
          <w:szCs w:val="24"/>
        </w:rPr>
        <w:t>20), High (2</w:t>
      </w:r>
      <w:r>
        <w:rPr>
          <w:rFonts w:eastAsia="Times New Roman" w:cs="Times New Roman"/>
          <w:szCs w:val="24"/>
        </w:rPr>
        <w:t>0</w:t>
      </w:r>
      <w:r w:rsidRPr="00E47EBE">
        <w:rPr>
          <w:rFonts w:eastAsia="Times New Roman" w:cs="Times New Roman"/>
          <w:szCs w:val="24"/>
        </w:rPr>
        <w:t xml:space="preserve"> - </w:t>
      </w:r>
      <w:r>
        <w:rPr>
          <w:rFonts w:eastAsia="Times New Roman" w:cs="Times New Roman"/>
          <w:szCs w:val="24"/>
        </w:rPr>
        <w:t>&lt;</w:t>
      </w:r>
      <w:r w:rsidRPr="00E47EBE">
        <w:rPr>
          <w:rFonts w:eastAsia="Times New Roman" w:cs="Times New Roman"/>
          <w:szCs w:val="24"/>
        </w:rPr>
        <w:t>25) and Severe (</w:t>
      </w:r>
      <w:r>
        <w:rPr>
          <w:rFonts w:eastAsia="Times New Roman" w:cs="Times New Roman"/>
          <w:szCs w:val="24"/>
        </w:rPr>
        <w:t>≥</w:t>
      </w:r>
      <w:r w:rsidRPr="00E47EBE">
        <w:rPr>
          <w:rFonts w:eastAsia="Times New Roman" w:cs="Times New Roman"/>
          <w:szCs w:val="24"/>
        </w:rPr>
        <w:t xml:space="preserve"> 25).</w:t>
      </w:r>
      <w:r>
        <w:rPr>
          <w:rFonts w:eastAsia="Times New Roman" w:cs="Times New Roman"/>
          <w:szCs w:val="24"/>
        </w:rPr>
        <w:t xml:space="preserve"> </w:t>
      </w:r>
    </w:p>
    <w:p w:rsidR="00BD0A7E" w:rsidRPr="00FC1FBB" w:rsidRDefault="00BD0A7E" w:rsidP="00BD0A7E">
      <w:pPr>
        <w:rPr>
          <w:rFonts w:eastAsia="Times New Roman" w:cs="Times New Roman"/>
          <w:sz w:val="16"/>
          <w:szCs w:val="16"/>
        </w:rPr>
      </w:pPr>
    </w:p>
    <w:p w:rsidR="00BD0A7E" w:rsidRPr="00145EF5" w:rsidRDefault="00BD0A7E" w:rsidP="00BD0A7E">
      <w:pPr>
        <w:rPr>
          <w:rFonts w:eastAsia="Times New Roman" w:cs="Times New Roman"/>
          <w:bCs/>
          <w:szCs w:val="24"/>
        </w:rPr>
      </w:pPr>
      <w:r w:rsidRPr="00145EF5">
        <w:rPr>
          <w:rFonts w:eastAsia="Times New Roman" w:cs="Times New Roman"/>
          <w:bCs/>
          <w:szCs w:val="24"/>
        </w:rPr>
        <w:t xml:space="preserve">DI = CD + (A * UL) + (A * ST) + (A * SL/2)  </w:t>
      </w:r>
    </w:p>
    <w:p w:rsidR="00BD0A7E" w:rsidRPr="00DE2D71" w:rsidRDefault="00BD0A7E" w:rsidP="00BD0A7E">
      <w:pPr>
        <w:rPr>
          <w:rFonts w:eastAsia="Times New Roman" w:cs="Times New Roman"/>
          <w:bCs/>
          <w:sz w:val="10"/>
          <w:szCs w:val="10"/>
        </w:rPr>
      </w:pPr>
    </w:p>
    <w:p w:rsidR="00BD0A7E" w:rsidRPr="00DE2D71" w:rsidRDefault="00BD0A7E" w:rsidP="00BD0A7E">
      <w:pPr>
        <w:rPr>
          <w:rFonts w:eastAsia="Times New Roman" w:cs="Times New Roman"/>
          <w:bCs/>
          <w:sz w:val="20"/>
          <w:szCs w:val="20"/>
        </w:rPr>
      </w:pPr>
      <w:r w:rsidRPr="00DE2D71">
        <w:rPr>
          <w:rFonts w:eastAsia="Times New Roman" w:cs="Times New Roman"/>
          <w:bCs/>
          <w:sz w:val="20"/>
          <w:szCs w:val="20"/>
        </w:rPr>
        <w:t xml:space="preserve">Where </w:t>
      </w:r>
      <w:r w:rsidRPr="00DE2D71">
        <w:rPr>
          <w:rFonts w:eastAsia="Times New Roman" w:cs="Times New Roman"/>
          <w:bCs/>
          <w:sz w:val="20"/>
          <w:szCs w:val="20"/>
        </w:rPr>
        <w:tab/>
        <w:t>DI = Decline Index</w:t>
      </w:r>
    </w:p>
    <w:p w:rsidR="00BD0A7E" w:rsidRPr="00BD0A7E" w:rsidRDefault="00BD0A7E" w:rsidP="00BD0A7E">
      <w:pPr>
        <w:ind w:left="284"/>
        <w:rPr>
          <w:rFonts w:eastAsia="Times New Roman" w:cs="Times New Roman"/>
          <w:bCs/>
          <w:sz w:val="20"/>
          <w:szCs w:val="20"/>
        </w:rPr>
      </w:pPr>
      <w:r w:rsidRPr="00BD0A7E">
        <w:rPr>
          <w:rFonts w:eastAsia="Times New Roman" w:cs="Times New Roman"/>
          <w:bCs/>
          <w:sz w:val="20"/>
          <w:szCs w:val="20"/>
        </w:rPr>
        <w:t xml:space="preserve">CD = % Crown Dieback (percent cover of branches with no live foliage in crown) </w:t>
      </w:r>
    </w:p>
    <w:p w:rsidR="00BD0A7E" w:rsidRPr="00BD0A7E" w:rsidRDefault="00BD0A7E" w:rsidP="00BD0A7E">
      <w:pPr>
        <w:ind w:left="284"/>
        <w:rPr>
          <w:rFonts w:eastAsia="Times New Roman" w:cs="Times New Roman"/>
          <w:bCs/>
          <w:sz w:val="20"/>
          <w:szCs w:val="20"/>
        </w:rPr>
      </w:pPr>
      <w:r w:rsidRPr="00BD0A7E">
        <w:rPr>
          <w:rFonts w:eastAsia="Times New Roman" w:cs="Times New Roman"/>
          <w:bCs/>
          <w:sz w:val="20"/>
          <w:szCs w:val="20"/>
        </w:rPr>
        <w:t>A = ([100-CD]/400</w:t>
      </w:r>
    </w:p>
    <w:p w:rsidR="00BD0A7E" w:rsidRPr="00BD0A7E" w:rsidRDefault="00BD0A7E" w:rsidP="00BD0A7E">
      <w:pPr>
        <w:ind w:left="284"/>
        <w:rPr>
          <w:rFonts w:eastAsia="Times New Roman" w:cs="Times New Roman"/>
          <w:bCs/>
          <w:sz w:val="20"/>
          <w:szCs w:val="20"/>
        </w:rPr>
      </w:pPr>
      <w:r w:rsidRPr="00BD0A7E">
        <w:rPr>
          <w:rFonts w:eastAsia="Times New Roman" w:cs="Times New Roman"/>
          <w:bCs/>
          <w:sz w:val="20"/>
          <w:szCs w:val="20"/>
        </w:rPr>
        <w:t>UL = % Undersized leaves of remnant live foliage</w:t>
      </w:r>
    </w:p>
    <w:p w:rsidR="00BD0A7E" w:rsidRPr="00BD0A7E" w:rsidRDefault="00BD0A7E" w:rsidP="00BD0A7E">
      <w:pPr>
        <w:ind w:left="284"/>
        <w:rPr>
          <w:rFonts w:eastAsia="Times New Roman" w:cs="Times New Roman"/>
          <w:bCs/>
          <w:sz w:val="20"/>
          <w:szCs w:val="20"/>
        </w:rPr>
      </w:pPr>
      <w:r w:rsidRPr="00BD0A7E">
        <w:rPr>
          <w:rFonts w:eastAsia="Times New Roman" w:cs="Times New Roman"/>
          <w:bCs/>
          <w:sz w:val="20"/>
          <w:szCs w:val="20"/>
        </w:rPr>
        <w:t>ST = % leaves with strong yellow-pale green chlorosis throughout &gt;75% of a leaf for live foliage</w:t>
      </w:r>
    </w:p>
    <w:p w:rsidR="00BD0A7E" w:rsidRPr="00BD0A7E" w:rsidRDefault="00BD0A7E" w:rsidP="00BD0A7E">
      <w:pPr>
        <w:ind w:left="284"/>
        <w:rPr>
          <w:rFonts w:eastAsia="Times New Roman" w:cs="Times New Roman"/>
          <w:bCs/>
          <w:sz w:val="20"/>
          <w:szCs w:val="20"/>
        </w:rPr>
      </w:pPr>
      <w:r w:rsidRPr="00BD0A7E">
        <w:rPr>
          <w:rFonts w:eastAsia="Times New Roman" w:cs="Times New Roman"/>
          <w:bCs/>
          <w:sz w:val="20"/>
          <w:szCs w:val="20"/>
        </w:rPr>
        <w:t>SL = % leaves with slight yellow-pale green chlorosis throughout leaves OR strong yellow-pale green colouration on leaf margins only or &lt;25% of leaf of live foliage</w:t>
      </w:r>
    </w:p>
    <w:p w:rsidR="00BD0A7E" w:rsidRPr="00FC1FBB" w:rsidRDefault="00BD0A7E" w:rsidP="00BD0A7E">
      <w:pPr>
        <w:rPr>
          <w:rFonts w:eastAsia="Times New Roman" w:cs="Times New Roman"/>
          <w:sz w:val="16"/>
          <w:szCs w:val="16"/>
        </w:rPr>
      </w:pPr>
    </w:p>
    <w:p w:rsidR="00BD0A7E" w:rsidRDefault="00BD0A7E" w:rsidP="00BD0A7E">
      <w:pPr>
        <w:rPr>
          <w:rFonts w:eastAsia="Times New Roman" w:cs="Times New Roman"/>
          <w:szCs w:val="24"/>
        </w:rPr>
      </w:pPr>
      <w:r>
        <w:t>T</w:t>
      </w:r>
      <w:r w:rsidRPr="0022073C">
        <w:t xml:space="preserve">he DI </w:t>
      </w:r>
      <w:r>
        <w:t>was predictive of</w:t>
      </w:r>
      <w:r w:rsidRPr="0022073C">
        <w:t xml:space="preserve"> </w:t>
      </w:r>
      <w:r>
        <w:t xml:space="preserve">other stress/health indicators. </w:t>
      </w:r>
      <w:r>
        <w:rPr>
          <w:rFonts w:cs="Times New Roman"/>
          <w:szCs w:val="24"/>
          <w:lang w:val="en-US"/>
        </w:rPr>
        <w:t>Trees were more likely to die in OFBN plots if they had higher DI values in one year and the risk of mortality increased if a tree had higher DI values for two consecutive years (</w:t>
      </w:r>
      <w:r w:rsidRPr="002C3692">
        <w:rPr>
          <w:rStyle w:val="reference-text"/>
          <w:rFonts w:cs="Arial"/>
          <w:color w:val="000000" w:themeColor="text1"/>
        </w:rPr>
        <w:t>Tominaga</w:t>
      </w:r>
      <w:r>
        <w:rPr>
          <w:rFonts w:cs="Times New Roman"/>
          <w:szCs w:val="24"/>
          <w:lang w:val="en-US"/>
        </w:rPr>
        <w:t xml:space="preserve"> </w:t>
      </w:r>
      <w:r w:rsidRPr="008B05C1">
        <w:rPr>
          <w:rFonts w:cs="Times New Roman"/>
          <w:i/>
          <w:szCs w:val="24"/>
          <w:lang w:val="en-US"/>
        </w:rPr>
        <w:t>et al</w:t>
      </w:r>
      <w:r>
        <w:rPr>
          <w:rFonts w:cs="Times New Roman"/>
          <w:szCs w:val="24"/>
          <w:lang w:val="en-US"/>
        </w:rPr>
        <w:t>. 2008). Mortality rates could be predicted from 1986 DI values for up to 18 years. T</w:t>
      </w:r>
      <w:r w:rsidRPr="00B05357">
        <w:rPr>
          <w:rFonts w:cs="Times New Roman"/>
          <w:szCs w:val="24"/>
          <w:lang w:val="en-US"/>
        </w:rPr>
        <w:t xml:space="preserve">rees with higher DI values </w:t>
      </w:r>
      <w:r>
        <w:rPr>
          <w:rFonts w:cs="Times New Roman"/>
          <w:szCs w:val="24"/>
          <w:lang w:val="en-US"/>
        </w:rPr>
        <w:t>in OFBN or nearby sites had</w:t>
      </w:r>
      <w:r w:rsidRPr="00B05357">
        <w:rPr>
          <w:rFonts w:cs="Times New Roman"/>
          <w:szCs w:val="24"/>
          <w:lang w:val="en-US"/>
        </w:rPr>
        <w:t xml:space="preserve"> lower</w:t>
      </w:r>
      <w:r>
        <w:rPr>
          <w:rFonts w:cs="Times New Roman"/>
          <w:szCs w:val="24"/>
          <w:lang w:val="en-US"/>
        </w:rPr>
        <w:t xml:space="preserve"> </w:t>
      </w:r>
      <w:r w:rsidRPr="00B05357">
        <w:rPr>
          <w:rFonts w:cs="Times New Roman"/>
          <w:szCs w:val="24"/>
          <w:lang w:val="en-US"/>
        </w:rPr>
        <w:t>tree growth rates than trees with low</w:t>
      </w:r>
      <w:r>
        <w:rPr>
          <w:rFonts w:cs="Times New Roman"/>
          <w:szCs w:val="24"/>
          <w:lang w:val="en-US"/>
        </w:rPr>
        <w:t>er</w:t>
      </w:r>
      <w:r w:rsidRPr="00B05357">
        <w:rPr>
          <w:rFonts w:cs="Times New Roman"/>
          <w:szCs w:val="24"/>
          <w:lang w:val="en-US"/>
        </w:rPr>
        <w:t xml:space="preserve"> DI values</w:t>
      </w:r>
      <w:r>
        <w:rPr>
          <w:rFonts w:cs="Times New Roman"/>
          <w:szCs w:val="24"/>
          <w:lang w:val="en-US"/>
        </w:rPr>
        <w:t xml:space="preserve"> </w:t>
      </w:r>
      <w:r w:rsidRPr="00B05357">
        <w:rPr>
          <w:rFonts w:cs="Times New Roman"/>
          <w:szCs w:val="24"/>
          <w:lang w:val="en-US"/>
        </w:rPr>
        <w:t>although the relationship was complex and varied throughout the time record</w:t>
      </w:r>
      <w:r w:rsidRPr="0022073C">
        <w:t xml:space="preserve"> (McLaughlin </w:t>
      </w:r>
      <w:r w:rsidRPr="008B05C1">
        <w:rPr>
          <w:i/>
        </w:rPr>
        <w:t>et al</w:t>
      </w:r>
      <w:r w:rsidRPr="0022073C">
        <w:t>. 1992a, Benakoun 2016).</w:t>
      </w:r>
    </w:p>
    <w:p w:rsidR="00BD0A7E" w:rsidRPr="00FC1FBB" w:rsidRDefault="00BD0A7E" w:rsidP="00BD0A7E">
      <w:pPr>
        <w:rPr>
          <w:rFonts w:eastAsia="Times New Roman" w:cs="Times New Roman"/>
          <w:sz w:val="16"/>
          <w:szCs w:val="16"/>
        </w:rPr>
      </w:pPr>
    </w:p>
    <w:p w:rsidR="00BD0A7E" w:rsidRDefault="00DE2D71" w:rsidP="00BD0A7E">
      <w:r w:rsidRPr="00227E6A">
        <w:rPr>
          <w:lang w:val="en-US"/>
        </w:rPr>
        <w:t xml:space="preserve">Overall, Ontario </w:t>
      </w:r>
      <w:r>
        <w:rPr>
          <w:lang w:val="en-US"/>
        </w:rPr>
        <w:t xml:space="preserve">hardwood </w:t>
      </w:r>
      <w:r w:rsidRPr="00227E6A">
        <w:rPr>
          <w:lang w:val="en-US"/>
        </w:rPr>
        <w:t xml:space="preserve">forests have been healthy with plot </w:t>
      </w:r>
      <w:r>
        <w:rPr>
          <w:lang w:val="en-US"/>
        </w:rPr>
        <w:t>or regional DI average</w:t>
      </w:r>
      <w:r w:rsidRPr="00227E6A">
        <w:rPr>
          <w:lang w:val="en-US"/>
        </w:rPr>
        <w:t xml:space="preserve">s </w:t>
      </w:r>
      <w:r>
        <w:rPr>
          <w:lang w:val="en-US"/>
        </w:rPr>
        <w:t xml:space="preserve">per year </w:t>
      </w:r>
      <w:r w:rsidRPr="00227E6A">
        <w:rPr>
          <w:lang w:val="en-US"/>
        </w:rPr>
        <w:t xml:space="preserve">having </w:t>
      </w:r>
      <w:r>
        <w:rPr>
          <w:lang w:val="en-US"/>
        </w:rPr>
        <w:t xml:space="preserve">numerous </w:t>
      </w:r>
      <w:r w:rsidRPr="00227E6A">
        <w:rPr>
          <w:lang w:val="en-US"/>
        </w:rPr>
        <w:t xml:space="preserve">very low to low, some moderate, and fewer high or severe decline incidence. </w:t>
      </w:r>
      <w:r>
        <w:t>S</w:t>
      </w:r>
      <w:r w:rsidR="00BD0A7E">
        <w:t xml:space="preserve">tatistical tests were used to confirm the following temporal and spatial DI patterns. </w:t>
      </w:r>
    </w:p>
    <w:p w:rsidR="00BD0A7E" w:rsidRDefault="00BD0A7E" w:rsidP="00BD0A7E"/>
    <w:p w:rsidR="00BD0A7E" w:rsidRPr="00BD0A7E" w:rsidRDefault="00BD0A7E" w:rsidP="00BD0A7E">
      <w:pPr>
        <w:rPr>
          <w:b/>
        </w:rPr>
      </w:pPr>
      <w:r w:rsidRPr="00BD0A7E">
        <w:rPr>
          <w:b/>
        </w:rPr>
        <w:t>Temporal Patterns: Intraseasonal</w:t>
      </w:r>
    </w:p>
    <w:p w:rsidR="00BD0A7E" w:rsidRDefault="00BD0A7E" w:rsidP="00BD0A7E">
      <w:pPr>
        <w:rPr>
          <w:rFonts w:eastAsia="Times New Roman" w:cs="Times New Roman"/>
          <w:bCs/>
          <w:szCs w:val="24"/>
        </w:rPr>
      </w:pPr>
      <w:r>
        <w:rPr>
          <w:rFonts w:eastAsia="Times New Roman" w:cs="Times New Roman"/>
          <w:bCs/>
          <w:szCs w:val="24"/>
        </w:rPr>
        <w:t xml:space="preserve">The standardized DI sampling </w:t>
      </w:r>
      <w:r w:rsidR="00FC1FBB">
        <w:rPr>
          <w:rFonts w:eastAsia="Times New Roman" w:cs="Times New Roman"/>
          <w:bCs/>
          <w:szCs w:val="24"/>
        </w:rPr>
        <w:t xml:space="preserve">period </w:t>
      </w:r>
      <w:r>
        <w:rPr>
          <w:rFonts w:eastAsia="Times New Roman" w:cs="Times New Roman"/>
          <w:bCs/>
          <w:szCs w:val="24"/>
        </w:rPr>
        <w:t xml:space="preserve">removed potential biases of intra-seasonal variation </w:t>
      </w:r>
      <w:r w:rsidR="00FC1FBB">
        <w:rPr>
          <w:rFonts w:eastAsia="Times New Roman" w:cs="Times New Roman"/>
          <w:bCs/>
          <w:szCs w:val="24"/>
        </w:rPr>
        <w:t>influencing differences across years</w:t>
      </w:r>
      <w:r>
        <w:rPr>
          <w:rFonts w:eastAsia="Times New Roman" w:cs="Times New Roman"/>
          <w:bCs/>
          <w:szCs w:val="24"/>
        </w:rPr>
        <w:t>. The DI was always measured in July-September when leaves were fully developed but not senescent (i.e., dying). Senescent leaves were more likely to have higher chlorosis late in the season when chlorophyll pigment start</w:t>
      </w:r>
      <w:r w:rsidR="00FC1FBB">
        <w:rPr>
          <w:rFonts w:eastAsia="Times New Roman" w:cs="Times New Roman"/>
          <w:bCs/>
          <w:szCs w:val="24"/>
        </w:rPr>
        <w:t>s</w:t>
      </w:r>
      <w:r>
        <w:rPr>
          <w:rFonts w:eastAsia="Times New Roman" w:cs="Times New Roman"/>
          <w:bCs/>
          <w:szCs w:val="24"/>
        </w:rPr>
        <w:t xml:space="preserve"> to die (Ahmad and Guo 2019). Plot DI means did not get consistently better or worst within each sampling year (Fig. 1, linear regression p = 0.6).</w:t>
      </w:r>
    </w:p>
    <w:p w:rsidR="00BD0A7E" w:rsidRDefault="00BD0A7E" w:rsidP="00BD0A7E">
      <w:pPr>
        <w:jc w:val="center"/>
        <w:rPr>
          <w:rFonts w:eastAsia="Times New Roman" w:cs="Times New Roman"/>
          <w:bCs/>
          <w:szCs w:val="24"/>
        </w:rPr>
      </w:pPr>
      <w:r>
        <w:rPr>
          <w:rFonts w:eastAsia="Times New Roman" w:cs="Times New Roman"/>
          <w:bCs/>
          <w:noProof/>
          <w:szCs w:val="24"/>
        </w:rPr>
        <w:drawing>
          <wp:inline distT="0" distB="0" distL="0" distR="0">
            <wp:extent cx="2390859" cy="197952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 1 Intraseasonal plot DI mean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29036" cy="2011134"/>
                    </a:xfrm>
                    <a:prstGeom prst="rect">
                      <a:avLst/>
                    </a:prstGeom>
                  </pic:spPr>
                </pic:pic>
              </a:graphicData>
            </a:graphic>
          </wp:inline>
        </w:drawing>
      </w:r>
    </w:p>
    <w:p w:rsidR="00BD0A7E" w:rsidRDefault="00BD0A7E" w:rsidP="00BD0A7E">
      <w:pPr>
        <w:jc w:val="center"/>
        <w:rPr>
          <w:rFonts w:eastAsia="Times New Roman" w:cs="Times New Roman"/>
          <w:bCs/>
          <w:szCs w:val="24"/>
        </w:rPr>
      </w:pPr>
      <w:r>
        <w:rPr>
          <w:rFonts w:ascii="TimesNewRomanPS-BoldMT" w:hAnsi="TimesNewRomanPS-BoldMT" w:cs="TimesNewRomanPS-BoldMT"/>
          <w:b/>
          <w:bCs/>
          <w:sz w:val="24"/>
          <w:szCs w:val="24"/>
        </w:rPr>
        <w:t>Fig. 1. Intra-seasonal variation in plot DI means</w:t>
      </w:r>
    </w:p>
    <w:p w:rsidR="00BD0A7E" w:rsidRDefault="00BD0A7E" w:rsidP="00BD0A7E">
      <w:pPr>
        <w:rPr>
          <w:b/>
        </w:rPr>
      </w:pPr>
      <w:r w:rsidRPr="00BD0A7E">
        <w:rPr>
          <w:b/>
        </w:rPr>
        <w:lastRenderedPageBreak/>
        <w:t xml:space="preserve">Temporal Patterns: </w:t>
      </w:r>
      <w:r>
        <w:rPr>
          <w:b/>
        </w:rPr>
        <w:t>Annual</w:t>
      </w:r>
    </w:p>
    <w:p w:rsidR="00BD0A7E" w:rsidRDefault="00BD0A7E" w:rsidP="00BD0A7E">
      <w:pPr>
        <w:rPr>
          <w:rFonts w:cs="Times New Roman"/>
          <w:szCs w:val="24"/>
          <w:lang w:val="en-US"/>
        </w:rPr>
      </w:pPr>
      <w:r>
        <w:rPr>
          <w:rFonts w:eastAsia="Times New Roman" w:cs="Times New Roman"/>
          <w:bCs/>
          <w:szCs w:val="24"/>
        </w:rPr>
        <w:t>Plot DI means and decline incidence differed among years but did not consistently improve or worsen between 1986-2017 (Fig 2)</w:t>
      </w:r>
      <w:r>
        <w:rPr>
          <w:rFonts w:cs="Times New Roman"/>
          <w:szCs w:val="24"/>
          <w:lang w:val="en-US"/>
        </w:rPr>
        <w:t xml:space="preserve">. The polynomial regression line shown </w:t>
      </w:r>
      <w:r w:rsidR="00DE2D71">
        <w:rPr>
          <w:rFonts w:cs="Times New Roman"/>
          <w:szCs w:val="24"/>
          <w:lang w:val="en-US"/>
        </w:rPr>
        <w:t>in Fig 2A</w:t>
      </w:r>
      <w:r>
        <w:rPr>
          <w:rFonts w:cs="Times New Roman"/>
          <w:szCs w:val="24"/>
          <w:lang w:val="en-US"/>
        </w:rPr>
        <w:t xml:space="preserve"> demonstrated that decline was higher in the 1980s, decreased in the 1990s, and increased in the 2000s and 2010s. </w:t>
      </w:r>
      <w:r w:rsidR="00641EBD">
        <w:rPr>
          <w:lang w:val="en-US"/>
        </w:rPr>
        <w:t xml:space="preserve">It is unknown whether the recent apparent declining trend may improve in the future as decline has previously worsened and then improved over time. </w:t>
      </w:r>
      <w:r>
        <w:rPr>
          <w:rFonts w:cs="Times New Roman"/>
          <w:szCs w:val="24"/>
          <w:lang w:val="en-US"/>
        </w:rPr>
        <w:t>Changes were often increasing (or decreasing) for longer than two years</w:t>
      </w:r>
      <w:r>
        <w:rPr>
          <w:rFonts w:eastAsia="Times New Roman" w:cs="Times New Roman"/>
          <w:bCs/>
          <w:szCs w:val="24"/>
        </w:rPr>
        <w:t xml:space="preserve"> suggesting non-random patterns. The data record was not long enough to show repeating patterns at regular intervals throughout the time series (i.e., periodic)</w:t>
      </w:r>
      <w:r>
        <w:rPr>
          <w:rFonts w:cs="Times New Roman"/>
          <w:szCs w:val="24"/>
          <w:lang w:val="en-US"/>
        </w:rPr>
        <w:t>.</w:t>
      </w:r>
      <w:r>
        <w:rPr>
          <w:rFonts w:eastAsia="Times New Roman" w:cs="Times New Roman"/>
          <w:bCs/>
          <w:szCs w:val="24"/>
          <w:lang w:val="en-US"/>
        </w:rPr>
        <w:t xml:space="preserve"> </w:t>
      </w:r>
      <w:bookmarkStart w:id="0" w:name="_Hlk33452378"/>
      <w:r>
        <w:rPr>
          <w:rFonts w:cs="Times New Roman"/>
          <w:szCs w:val="24"/>
          <w:lang w:val="en-US"/>
        </w:rPr>
        <w:t xml:space="preserve">DI changes between two consecutive years </w:t>
      </w:r>
      <w:r w:rsidR="00FC140A">
        <w:rPr>
          <w:rFonts w:cs="Times New Roman"/>
          <w:szCs w:val="24"/>
          <w:lang w:val="en-US"/>
        </w:rPr>
        <w:t xml:space="preserve">explained a significant amount of variation of DI means over the years and </w:t>
      </w:r>
      <w:r>
        <w:rPr>
          <w:rFonts w:cs="Times New Roman"/>
          <w:szCs w:val="24"/>
          <w:lang w:val="en-US"/>
        </w:rPr>
        <w:t xml:space="preserve">was the key driver to forecast annual changes that reflected stresses of </w:t>
      </w:r>
      <w:r w:rsidR="00FC1FBB">
        <w:rPr>
          <w:rFonts w:cs="Times New Roman"/>
          <w:szCs w:val="24"/>
          <w:lang w:val="en-US"/>
        </w:rPr>
        <w:t xml:space="preserve">the </w:t>
      </w:r>
      <w:r>
        <w:rPr>
          <w:rFonts w:cs="Times New Roman"/>
          <w:szCs w:val="24"/>
          <w:lang w:val="en-US"/>
        </w:rPr>
        <w:t xml:space="preserve">years sampled. </w:t>
      </w:r>
      <w:bookmarkEnd w:id="0"/>
      <w:r w:rsidR="00FC1FBB">
        <w:rPr>
          <w:rFonts w:cs="Times New Roman"/>
          <w:szCs w:val="24"/>
          <w:lang w:val="en-US"/>
        </w:rPr>
        <w:t>S</w:t>
      </w:r>
      <w:r w:rsidR="00FC140A">
        <w:rPr>
          <w:rFonts w:cs="Times New Roman"/>
          <w:szCs w:val="24"/>
          <w:lang w:val="en-US"/>
        </w:rPr>
        <w:t>mall amounts of</w:t>
      </w:r>
      <w:r w:rsidR="00FC1FBB">
        <w:rPr>
          <w:rFonts w:cs="Times New Roman"/>
          <w:szCs w:val="24"/>
          <w:lang w:val="en-US"/>
        </w:rPr>
        <w:t xml:space="preserve"> residual r</w:t>
      </w:r>
      <w:r>
        <w:rPr>
          <w:rFonts w:cs="Times New Roman"/>
          <w:szCs w:val="24"/>
          <w:lang w:val="en-US"/>
        </w:rPr>
        <w:t>andom variation occurred after the effects of consecutive year trends were removed</w:t>
      </w:r>
      <w:r w:rsidR="00DE2D71">
        <w:rPr>
          <w:rFonts w:cs="Times New Roman"/>
          <w:szCs w:val="24"/>
          <w:lang w:val="en-US"/>
        </w:rPr>
        <w:t xml:space="preserve"> suggesting that other factors also influenced decline than differences among years</w:t>
      </w:r>
      <w:r>
        <w:rPr>
          <w:rFonts w:cs="Times New Roman"/>
          <w:szCs w:val="24"/>
          <w:lang w:val="en-US"/>
        </w:rPr>
        <w:t xml:space="preserve">. </w:t>
      </w:r>
    </w:p>
    <w:p w:rsidR="00DE2D71" w:rsidRPr="00DE2D71" w:rsidRDefault="00DE2D71" w:rsidP="00BD0A7E">
      <w:pPr>
        <w:jc w:val="center"/>
        <w:rPr>
          <w:sz w:val="16"/>
          <w:szCs w:val="16"/>
        </w:rPr>
      </w:pPr>
    </w:p>
    <w:p w:rsidR="00BD0A7E" w:rsidRDefault="00BD0A7E" w:rsidP="00BD0A7E">
      <w:pPr>
        <w:jc w:val="center"/>
      </w:pPr>
      <w:r>
        <w:rPr>
          <w:noProof/>
        </w:rPr>
        <w:drawing>
          <wp:inline distT="0" distB="0" distL="0" distR="0">
            <wp:extent cx="5772150" cy="277374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6951" cy="2776050"/>
                    </a:xfrm>
                    <a:prstGeom prst="rect">
                      <a:avLst/>
                    </a:prstGeom>
                    <a:noFill/>
                    <a:ln>
                      <a:noFill/>
                    </a:ln>
                  </pic:spPr>
                </pic:pic>
              </a:graphicData>
            </a:graphic>
          </wp:inline>
        </w:drawing>
      </w:r>
    </w:p>
    <w:p w:rsidR="00BD0A7E" w:rsidRDefault="00BD0A7E" w:rsidP="00BD0A7E">
      <w:pPr>
        <w:jc w:val="center"/>
      </w:pPr>
      <w:r>
        <w:rPr>
          <w:rFonts w:ascii="TimesNewRomanPS-BoldMT" w:hAnsi="TimesNewRomanPS-BoldMT" w:cs="TimesNewRomanPS-BoldMT"/>
          <w:b/>
          <w:bCs/>
          <w:sz w:val="24"/>
          <w:szCs w:val="24"/>
        </w:rPr>
        <w:t>Fig. 2. Annual changes in DI (A) and incidence (B)</w:t>
      </w:r>
    </w:p>
    <w:p w:rsidR="00BD0A7E" w:rsidRDefault="00BD0A7E" w:rsidP="00BD0A7E"/>
    <w:p w:rsidR="00BD0A7E" w:rsidRDefault="00BD0A7E" w:rsidP="00BD0A7E">
      <w:pPr>
        <w:rPr>
          <w:b/>
        </w:rPr>
      </w:pPr>
      <w:r w:rsidRPr="00BD0A7E">
        <w:rPr>
          <w:b/>
        </w:rPr>
        <w:t>Spatial Patterns</w:t>
      </w:r>
    </w:p>
    <w:p w:rsidR="00BD0A7E" w:rsidRDefault="00BD0A7E" w:rsidP="00BD0A7E">
      <w:r>
        <w:t>The amount of decline increased as plots were located further north and further east although plot DI means varied considerably, and th</w:t>
      </w:r>
      <w:r w:rsidR="00FC1FBB">
        <w:t xml:space="preserve">e west-east </w:t>
      </w:r>
      <w:r>
        <w:t xml:space="preserve">trend was less strong (Fig. 3). </w:t>
      </w:r>
    </w:p>
    <w:p w:rsidR="00DE2D71" w:rsidRPr="00DE2D71" w:rsidRDefault="00DE2D71" w:rsidP="00BD0A7E">
      <w:pPr>
        <w:rPr>
          <w:sz w:val="16"/>
          <w:szCs w:val="16"/>
        </w:rPr>
      </w:pPr>
    </w:p>
    <w:p w:rsidR="00BD0A7E" w:rsidRDefault="00BD0A7E" w:rsidP="00BD0A7E">
      <w:r>
        <w:rPr>
          <w:noProof/>
        </w:rPr>
        <w:drawing>
          <wp:inline distT="0" distB="0" distL="0" distR="0">
            <wp:extent cx="5724525" cy="20634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8867" cy="2068619"/>
                    </a:xfrm>
                    <a:prstGeom prst="rect">
                      <a:avLst/>
                    </a:prstGeom>
                    <a:noFill/>
                    <a:ln>
                      <a:noFill/>
                    </a:ln>
                  </pic:spPr>
                </pic:pic>
              </a:graphicData>
            </a:graphic>
          </wp:inline>
        </w:drawing>
      </w:r>
    </w:p>
    <w:p w:rsidR="00BD0A7E" w:rsidRDefault="00BD0A7E" w:rsidP="00BD0A7E">
      <w:pPr>
        <w:jc w:val="center"/>
      </w:pPr>
      <w:r>
        <w:rPr>
          <w:rFonts w:ascii="TimesNewRomanPS-BoldMT" w:hAnsi="TimesNewRomanPS-BoldMT" w:cs="TimesNewRomanPS-BoldMT"/>
          <w:b/>
          <w:bCs/>
          <w:sz w:val="24"/>
          <w:szCs w:val="24"/>
        </w:rPr>
        <w:t>Fig. 3. DI Latitude and Longitude Trends</w:t>
      </w:r>
    </w:p>
    <w:p w:rsidR="00BD0A7E" w:rsidRDefault="00BD0A7E" w:rsidP="00BD0A7E">
      <w:r>
        <w:lastRenderedPageBreak/>
        <w:t xml:space="preserve">Three forest regional classifications at different spatial scales were compared to determine which one described the decline patterns across the province. The National Ecological Framework’s Ecoregions had the best fit to describe how decline varied throughout the province (Fig. 4). Decline was </w:t>
      </w:r>
      <w:r w:rsidR="00DE2D71">
        <w:t>higher</w:t>
      </w:r>
      <w:r>
        <w:t xml:space="preserve"> (tree health was </w:t>
      </w:r>
      <w:r w:rsidR="00DE2D71">
        <w:t>poorer</w:t>
      </w:r>
      <w:r>
        <w:t xml:space="preserve">) in the </w:t>
      </w:r>
      <w:r w:rsidR="00DE2D71">
        <w:t xml:space="preserve">Canadian Shield than the </w:t>
      </w:r>
      <w:r>
        <w:t>Mixed Wood Plain regions</w:t>
      </w:r>
      <w:r w:rsidR="00DE2D71">
        <w:rPr>
          <w:lang w:val="en-US"/>
        </w:rPr>
        <w:t xml:space="preserve"> likely </w:t>
      </w:r>
      <w:r w:rsidR="00DE2D71" w:rsidRPr="00927EF9">
        <w:rPr>
          <w:lang w:val="en-US"/>
        </w:rPr>
        <w:t>because forests on the Shield</w:t>
      </w:r>
      <w:r w:rsidR="00DE2D71">
        <w:rPr>
          <w:lang w:val="en-US"/>
        </w:rPr>
        <w:t xml:space="preserve"> </w:t>
      </w:r>
      <w:r w:rsidR="00DE2D71" w:rsidRPr="00927EF9">
        <w:rPr>
          <w:lang w:val="en-US"/>
        </w:rPr>
        <w:t>generally have less favo</w:t>
      </w:r>
      <w:r w:rsidR="00DE2D71">
        <w:rPr>
          <w:lang w:val="en-US"/>
        </w:rPr>
        <w:t>u</w:t>
      </w:r>
      <w:r w:rsidR="00DE2D71" w:rsidRPr="00927EF9">
        <w:rPr>
          <w:lang w:val="en-US"/>
        </w:rPr>
        <w:t>rable growing conditions</w:t>
      </w:r>
      <w:r w:rsidR="00DE2D71">
        <w:rPr>
          <w:lang w:val="en-US"/>
        </w:rPr>
        <w:t xml:space="preserve">. The Ontario Shield contains Precambrian rock, has cooler temperatures and a shorter growing season, and tends to have acidic and nutrient-poor soils. The Mixedwood Plains has a warmer climate and contains less acidic and nutrient-rich limestone soils. </w:t>
      </w:r>
      <w:r>
        <w:t>For the non-shield regions, DI was higher in the southwest and lower in the southeast of the province. For the Shield regions, DI was highest in the Thunder Bay region</w:t>
      </w:r>
      <w:r w:rsidR="00DE2D71">
        <w:t xml:space="preserve"> at the northern range of hardwood forests</w:t>
      </w:r>
      <w:r>
        <w:t xml:space="preserve">, lower in the mid-north and lowest in the northeast regions in the province.  </w:t>
      </w:r>
    </w:p>
    <w:p w:rsidR="00BD0A7E" w:rsidRDefault="00BD0A7E" w:rsidP="00BD0A7E"/>
    <w:p w:rsidR="00BD0A7E" w:rsidRPr="00BD0A7E" w:rsidRDefault="00BD0A7E" w:rsidP="00DE2D71">
      <w:pPr>
        <w:jc w:val="center"/>
        <w:rPr>
          <w:rFonts w:ascii="Times New Roman" w:eastAsia="Times New Roman" w:hAnsi="Times New Roman" w:cs="Times New Roman"/>
          <w:b/>
          <w:bCs/>
          <w:sz w:val="16"/>
          <w:szCs w:val="24"/>
        </w:rPr>
      </w:pPr>
      <w:r>
        <w:rPr>
          <w:noProof/>
        </w:rPr>
        <w:drawing>
          <wp:inline distT="0" distB="0" distL="0" distR="0">
            <wp:extent cx="4441371" cy="31638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49063" cy="3169339"/>
                    </a:xfrm>
                    <a:prstGeom prst="rect">
                      <a:avLst/>
                    </a:prstGeom>
                    <a:noFill/>
                    <a:ln>
                      <a:noFill/>
                    </a:ln>
                  </pic:spPr>
                </pic:pic>
              </a:graphicData>
            </a:graphic>
          </wp:inline>
        </w:drawing>
      </w:r>
    </w:p>
    <w:p w:rsidR="00BD0A7E" w:rsidRDefault="00BD0A7E" w:rsidP="00BD0A7E">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Fig.</w:t>
      </w:r>
      <w:r>
        <w:rPr>
          <w:rFonts w:ascii="Times New Roman" w:eastAsia="Times New Roman" w:hAnsi="Times New Roman" w:cs="Times New Roman"/>
          <w:b/>
          <w:bCs/>
          <w:spacing w:val="-5"/>
          <w:sz w:val="24"/>
          <w:szCs w:val="24"/>
        </w:rPr>
        <w:t xml:space="preserve"> </w:t>
      </w:r>
      <w:r w:rsidR="00DE2D71">
        <w:rPr>
          <w:rFonts w:ascii="Times New Roman" w:eastAsia="Times New Roman" w:hAnsi="Times New Roman" w:cs="Times New Roman"/>
          <w:b/>
          <w:bCs/>
          <w:spacing w:val="-5"/>
          <w:sz w:val="24"/>
          <w:szCs w:val="24"/>
        </w:rPr>
        <w:t>4</w:t>
      </w:r>
      <w:r>
        <w:rPr>
          <w:rFonts w:ascii="Times New Roman" w:eastAsia="Times New Roman" w:hAnsi="Times New Roman" w:cs="Times New Roman"/>
          <w:b/>
          <w:bCs/>
          <w:sz w:val="24"/>
          <w:szCs w:val="24"/>
        </w:rPr>
        <w:t>.</w:t>
      </w:r>
      <w:r>
        <w:rPr>
          <w:rFonts w:ascii="Times New Roman" w:eastAsia="Times New Roman" w:hAnsi="Times New Roman" w:cs="Times New Roman"/>
          <w:b/>
          <w:bCs/>
          <w:spacing w:val="-5"/>
          <w:sz w:val="24"/>
          <w:szCs w:val="24"/>
        </w:rPr>
        <w:t xml:space="preserve"> </w:t>
      </w:r>
      <w:r>
        <w:rPr>
          <w:rFonts w:ascii="Times New Roman" w:eastAsia="Times New Roman" w:hAnsi="Times New Roman" w:cs="Times New Roman"/>
          <w:b/>
          <w:bCs/>
          <w:sz w:val="24"/>
          <w:szCs w:val="24"/>
        </w:rPr>
        <w:t>M</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an</w:t>
      </w:r>
      <w:r>
        <w:rPr>
          <w:rFonts w:ascii="Times New Roman" w:eastAsia="Times New Roman" w:hAnsi="Times New Roman" w:cs="Times New Roman"/>
          <w:b/>
          <w:bCs/>
          <w:spacing w:val="-5"/>
          <w:sz w:val="24"/>
          <w:szCs w:val="24"/>
        </w:rPr>
        <w:t xml:space="preserve"> </w:t>
      </w:r>
      <w:r>
        <w:rPr>
          <w:rFonts w:ascii="Times New Roman" w:eastAsia="Times New Roman" w:hAnsi="Times New Roman" w:cs="Times New Roman"/>
          <w:b/>
          <w:bCs/>
          <w:sz w:val="24"/>
          <w:szCs w:val="24"/>
        </w:rPr>
        <w:t>p</w:t>
      </w:r>
      <w:r>
        <w:rPr>
          <w:rFonts w:ascii="Times New Roman" w:eastAsia="Times New Roman" w:hAnsi="Times New Roman" w:cs="Times New Roman"/>
          <w:b/>
          <w:bCs/>
          <w:spacing w:val="-1"/>
          <w:sz w:val="24"/>
          <w:szCs w:val="24"/>
        </w:rPr>
        <w:t>l</w:t>
      </w:r>
      <w:r>
        <w:rPr>
          <w:rFonts w:ascii="Times New Roman" w:eastAsia="Times New Roman" w:hAnsi="Times New Roman" w:cs="Times New Roman"/>
          <w:b/>
          <w:bCs/>
          <w:sz w:val="24"/>
          <w:szCs w:val="24"/>
        </w:rPr>
        <w:t>ot</w:t>
      </w:r>
      <w:r>
        <w:rPr>
          <w:rFonts w:ascii="Times New Roman" w:eastAsia="Times New Roman" w:hAnsi="Times New Roman" w:cs="Times New Roman"/>
          <w:b/>
          <w:bCs/>
          <w:spacing w:val="-5"/>
          <w:sz w:val="24"/>
          <w:szCs w:val="24"/>
        </w:rPr>
        <w:t xml:space="preserve"> </w:t>
      </w:r>
      <w:r>
        <w:rPr>
          <w:rFonts w:ascii="Times New Roman" w:eastAsia="Times New Roman" w:hAnsi="Times New Roman" w:cs="Times New Roman"/>
          <w:b/>
          <w:bCs/>
          <w:sz w:val="24"/>
          <w:szCs w:val="24"/>
        </w:rPr>
        <w:t>de</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z w:val="24"/>
          <w:szCs w:val="24"/>
        </w:rPr>
        <w:t>line</w:t>
      </w:r>
      <w:r>
        <w:rPr>
          <w:rFonts w:ascii="Times New Roman" w:eastAsia="Times New Roman" w:hAnsi="Times New Roman" w:cs="Times New Roman"/>
          <w:b/>
          <w:bCs/>
          <w:spacing w:val="-5"/>
          <w:sz w:val="24"/>
          <w:szCs w:val="24"/>
        </w:rPr>
        <w:t xml:space="preserve"> </w:t>
      </w:r>
      <w:r>
        <w:rPr>
          <w:rFonts w:ascii="Times New Roman" w:eastAsia="Times New Roman" w:hAnsi="Times New Roman" w:cs="Times New Roman"/>
          <w:b/>
          <w:bCs/>
          <w:sz w:val="24"/>
          <w:szCs w:val="24"/>
        </w:rPr>
        <w:t>incidence</w:t>
      </w:r>
      <w:r>
        <w:rPr>
          <w:rFonts w:ascii="Times New Roman" w:eastAsia="Times New Roman" w:hAnsi="Times New Roman" w:cs="Times New Roman"/>
          <w:b/>
          <w:bCs/>
          <w:spacing w:val="-5"/>
          <w:sz w:val="24"/>
          <w:szCs w:val="24"/>
        </w:rPr>
        <w:t xml:space="preserve"> </w:t>
      </w:r>
      <w:r>
        <w:rPr>
          <w:rFonts w:ascii="Times New Roman" w:eastAsia="Times New Roman" w:hAnsi="Times New Roman" w:cs="Times New Roman"/>
          <w:b/>
          <w:bCs/>
          <w:sz w:val="24"/>
          <w:szCs w:val="24"/>
        </w:rPr>
        <w:t>in</w:t>
      </w:r>
      <w:r>
        <w:rPr>
          <w:rFonts w:ascii="Times New Roman" w:eastAsia="Times New Roman" w:hAnsi="Times New Roman" w:cs="Times New Roman"/>
          <w:b/>
          <w:bCs/>
          <w:spacing w:val="-5"/>
          <w:sz w:val="24"/>
          <w:szCs w:val="24"/>
        </w:rPr>
        <w:t xml:space="preserve"> </w:t>
      </w:r>
      <w:r>
        <w:rPr>
          <w:rFonts w:ascii="Times New Roman" w:eastAsia="Times New Roman" w:hAnsi="Times New Roman" w:cs="Times New Roman"/>
          <w:b/>
          <w:bCs/>
          <w:sz w:val="24"/>
          <w:szCs w:val="24"/>
        </w:rPr>
        <w:t>NEF</w:t>
      </w:r>
      <w:r>
        <w:rPr>
          <w:rFonts w:ascii="Times New Roman" w:eastAsia="Times New Roman" w:hAnsi="Times New Roman" w:cs="Times New Roman"/>
          <w:b/>
          <w:bCs/>
          <w:spacing w:val="-5"/>
          <w:sz w:val="24"/>
          <w:szCs w:val="24"/>
        </w:rPr>
        <w:t xml:space="preserve"> </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egions</w:t>
      </w:r>
    </w:p>
    <w:p w:rsidR="00BD0A7E" w:rsidRPr="00BD0A7E" w:rsidRDefault="00BD0A7E" w:rsidP="00BD0A7E">
      <w:pPr>
        <w:rPr>
          <w:rFonts w:ascii="Times New Roman" w:eastAsia="Times New Roman" w:hAnsi="Times New Roman" w:cs="Times New Roman"/>
          <w:bCs/>
          <w:sz w:val="24"/>
          <w:szCs w:val="24"/>
        </w:rPr>
      </w:pPr>
    </w:p>
    <w:p w:rsidR="00BD0A7E" w:rsidRDefault="00BD0A7E" w:rsidP="00BD0A7E">
      <w:pPr>
        <w:rPr>
          <w:rFonts w:ascii="TimesNewRomanPS-BoldMT" w:hAnsi="TimesNewRomanPS-BoldMT" w:cs="TimesNewRomanPS-BoldMT"/>
          <w:b/>
          <w:bCs/>
          <w:sz w:val="24"/>
          <w:szCs w:val="24"/>
        </w:rPr>
      </w:pPr>
      <w:r>
        <w:rPr>
          <w:rFonts w:ascii="TimesNewRomanPS-BoldMT" w:hAnsi="TimesNewRomanPS-BoldMT" w:cs="TimesNewRomanPS-BoldMT"/>
          <w:b/>
          <w:bCs/>
          <w:sz w:val="24"/>
          <w:szCs w:val="24"/>
        </w:rPr>
        <w:t>Spatial-temporal DI interactions</w:t>
      </w:r>
    </w:p>
    <w:p w:rsidR="00BD0A7E" w:rsidRPr="00BD0A7E" w:rsidRDefault="00C442C1" w:rsidP="00BD0A7E">
      <w:r>
        <w:rPr>
          <w:lang w:val="en-US"/>
        </w:rPr>
        <w:t xml:space="preserve">The amount and direction of annual increases or decreases in decline depended on which two consecutive years were compared. These annual increases or decreases did not differ among Ecozones, Ecoregions, Ecodistricts and plots. Thus, the likelihood of decline improving or worsening from one year to the next </w:t>
      </w:r>
      <w:r w:rsidR="00FC1FBB">
        <w:rPr>
          <w:lang w:val="en-US"/>
        </w:rPr>
        <w:t>wa</w:t>
      </w:r>
      <w:r>
        <w:rPr>
          <w:lang w:val="en-US"/>
        </w:rPr>
        <w:t xml:space="preserve">s similar throughout the province. The NEF Ecoregions had temporally </w:t>
      </w:r>
      <w:r>
        <w:rPr>
          <w:rFonts w:eastAsia="Times New Roman" w:cs="Arial"/>
          <w:bCs/>
        </w:rPr>
        <w:t>synchronous</w:t>
      </w:r>
      <w:r>
        <w:rPr>
          <w:lang w:val="en-US"/>
        </w:rPr>
        <w:t xml:space="preserve"> changes </w:t>
      </w:r>
      <w:r w:rsidR="00AD0FD4">
        <w:rPr>
          <w:lang w:val="en-US"/>
        </w:rPr>
        <w:t xml:space="preserve">in the DI change </w:t>
      </w:r>
      <w:r>
        <w:rPr>
          <w:lang w:val="en-US"/>
        </w:rPr>
        <w:t>from one year to the next</w:t>
      </w:r>
      <w:r w:rsidR="00FC1FBB">
        <w:rPr>
          <w:lang w:val="en-US"/>
        </w:rPr>
        <w:t xml:space="preserve"> i.e.,</w:t>
      </w:r>
      <w:r>
        <w:rPr>
          <w:lang w:val="en-US"/>
        </w:rPr>
        <w:t xml:space="preserve"> </w:t>
      </w:r>
      <w:r w:rsidR="00FC1FBB">
        <w:rPr>
          <w:lang w:val="en-US"/>
        </w:rPr>
        <w:t>regions had</w:t>
      </w:r>
      <w:r>
        <w:rPr>
          <w:rFonts w:eastAsia="Times New Roman" w:cs="Arial"/>
          <w:bCs/>
        </w:rPr>
        <w:t xml:space="preserve"> similar responses to </w:t>
      </w:r>
      <w:r w:rsidR="00FC1FBB">
        <w:rPr>
          <w:rFonts w:eastAsia="Times New Roman" w:cs="Arial"/>
          <w:bCs/>
        </w:rPr>
        <w:t>annual stresses</w:t>
      </w:r>
      <w:r>
        <w:rPr>
          <w:rFonts w:eastAsia="Times New Roman" w:cs="Arial"/>
          <w:bCs/>
        </w:rPr>
        <w:t xml:space="preserve"> (Rusak 1999).</w:t>
      </w:r>
      <w:r>
        <w:rPr>
          <w:lang w:val="en-US"/>
        </w:rPr>
        <w:t xml:space="preserve"> These results suggest that broad-scaled factors can affect decline across the entire province within the same year. For example, many studies have found that drought can cause higher hardwood forest decline across large areas. Very dry conditions were found in the OFBN plots across Ontario in 2016, and these drought conditions likely resulted in the higher DI values in that year across the province.</w:t>
      </w:r>
      <w:r w:rsidR="00FC1FBB">
        <w:rPr>
          <w:lang w:val="en-US"/>
        </w:rPr>
        <w:t xml:space="preserve"> Thus, time lag responses are important to consider given that regions had similar responses to annual stresses and the </w:t>
      </w:r>
      <w:r w:rsidR="00FC1FBB">
        <w:rPr>
          <w:rFonts w:cs="Times New Roman"/>
          <w:szCs w:val="24"/>
          <w:lang w:val="en-US"/>
        </w:rPr>
        <w:t xml:space="preserve">DI changes between two consecutive years </w:t>
      </w:r>
      <w:bookmarkStart w:id="1" w:name="_GoBack"/>
      <w:bookmarkEnd w:id="1"/>
      <w:r w:rsidR="00FC1FBB">
        <w:rPr>
          <w:rFonts w:cs="Times New Roman"/>
          <w:szCs w:val="24"/>
          <w:lang w:val="en-US"/>
        </w:rPr>
        <w:t>was able to forecast annual changes</w:t>
      </w:r>
      <w:r w:rsidR="0026012A">
        <w:rPr>
          <w:rFonts w:cs="Times New Roman"/>
          <w:szCs w:val="24"/>
          <w:lang w:val="en-US"/>
        </w:rPr>
        <w:t xml:space="preserve"> throughout the data record</w:t>
      </w:r>
      <w:r w:rsidR="00FC1FBB">
        <w:rPr>
          <w:rFonts w:cs="Times New Roman"/>
          <w:szCs w:val="24"/>
          <w:lang w:val="en-US"/>
        </w:rPr>
        <w:t xml:space="preserve">. </w:t>
      </w:r>
    </w:p>
    <w:sectPr w:rsidR="00BD0A7E" w:rsidRPr="00BD0A7E" w:rsidSect="002D7622">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130F" w:rsidRDefault="001D130F" w:rsidP="00F72078">
      <w:r>
        <w:separator/>
      </w:r>
    </w:p>
  </w:endnote>
  <w:endnote w:type="continuationSeparator" w:id="0">
    <w:p w:rsidR="001D130F" w:rsidRDefault="001D130F" w:rsidP="00F72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6585206"/>
      <w:docPartObj>
        <w:docPartGallery w:val="Page Numbers (Bottom of Page)"/>
        <w:docPartUnique/>
      </w:docPartObj>
    </w:sdtPr>
    <w:sdtEndPr>
      <w:rPr>
        <w:noProof/>
      </w:rPr>
    </w:sdtEndPr>
    <w:sdtContent>
      <w:p w:rsidR="00BD0A7E" w:rsidRDefault="00BD0A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72078" w:rsidRDefault="00F72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130F" w:rsidRDefault="001D130F" w:rsidP="00F72078">
      <w:r>
        <w:separator/>
      </w:r>
    </w:p>
  </w:footnote>
  <w:footnote w:type="continuationSeparator" w:id="0">
    <w:p w:rsidR="001D130F" w:rsidRDefault="001D130F" w:rsidP="00F720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757"/>
    <w:rsid w:val="0009550C"/>
    <w:rsid w:val="000A0119"/>
    <w:rsid w:val="001C37B4"/>
    <w:rsid w:val="001D130F"/>
    <w:rsid w:val="001F129E"/>
    <w:rsid w:val="00225BE4"/>
    <w:rsid w:val="0026012A"/>
    <w:rsid w:val="002D7622"/>
    <w:rsid w:val="002E6FF6"/>
    <w:rsid w:val="00317F1F"/>
    <w:rsid w:val="0036413B"/>
    <w:rsid w:val="00404C1A"/>
    <w:rsid w:val="00461865"/>
    <w:rsid w:val="00487378"/>
    <w:rsid w:val="004A2238"/>
    <w:rsid w:val="004A392D"/>
    <w:rsid w:val="004B347D"/>
    <w:rsid w:val="004B69F7"/>
    <w:rsid w:val="004F1B03"/>
    <w:rsid w:val="004F20C3"/>
    <w:rsid w:val="0057735C"/>
    <w:rsid w:val="00615757"/>
    <w:rsid w:val="00624B02"/>
    <w:rsid w:val="00641EBD"/>
    <w:rsid w:val="00695E04"/>
    <w:rsid w:val="006C7751"/>
    <w:rsid w:val="006D72AA"/>
    <w:rsid w:val="00767151"/>
    <w:rsid w:val="007707B1"/>
    <w:rsid w:val="00794C32"/>
    <w:rsid w:val="007D6DDD"/>
    <w:rsid w:val="00837C38"/>
    <w:rsid w:val="00935FEB"/>
    <w:rsid w:val="009B1D63"/>
    <w:rsid w:val="009B65DE"/>
    <w:rsid w:val="00A4736E"/>
    <w:rsid w:val="00A752E3"/>
    <w:rsid w:val="00A963FC"/>
    <w:rsid w:val="00AD0FD4"/>
    <w:rsid w:val="00AD71CE"/>
    <w:rsid w:val="00B93223"/>
    <w:rsid w:val="00BD0A7E"/>
    <w:rsid w:val="00C029AC"/>
    <w:rsid w:val="00C442C1"/>
    <w:rsid w:val="00C442F5"/>
    <w:rsid w:val="00C93AB7"/>
    <w:rsid w:val="00CC034D"/>
    <w:rsid w:val="00D83F89"/>
    <w:rsid w:val="00DE2D71"/>
    <w:rsid w:val="00E86087"/>
    <w:rsid w:val="00F17B57"/>
    <w:rsid w:val="00F61F85"/>
    <w:rsid w:val="00F72078"/>
    <w:rsid w:val="00F85186"/>
    <w:rsid w:val="00FA62DB"/>
    <w:rsid w:val="00FB11EB"/>
    <w:rsid w:val="00FC140A"/>
    <w:rsid w:val="00FC1FBB"/>
    <w:rsid w:val="00FE363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74E44"/>
  <w15:chartTrackingRefBased/>
  <w15:docId w15:val="{6F04DD94-5904-4EB8-8DC4-365B877B6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0A7E"/>
    <w:pPr>
      <w:spacing w:after="0" w:line="240" w:lineRule="auto"/>
    </w:pPr>
  </w:style>
  <w:style w:type="paragraph" w:styleId="Heading1">
    <w:name w:val="heading 1"/>
    <w:basedOn w:val="Normal"/>
    <w:next w:val="Normal"/>
    <w:link w:val="Heading1Char"/>
    <w:uiPriority w:val="9"/>
    <w:qFormat/>
    <w:rsid w:val="004A392D"/>
    <w:pPr>
      <w:spacing w:before="480"/>
      <w:contextualSpacing/>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4A392D"/>
    <w:pPr>
      <w:spacing w:before="20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4A392D"/>
    <w:pPr>
      <w:spacing w:before="200" w:line="271" w:lineRule="auto"/>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4A392D"/>
    <w:pPr>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unhideWhenUsed/>
    <w:qFormat/>
    <w:rsid w:val="004A392D"/>
    <w:pPr>
      <w:spacing w:before="20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rsid w:val="00F85186"/>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A392D"/>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A392D"/>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A392D"/>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D"/>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4A392D"/>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4A392D"/>
    <w:rPr>
      <w:rFonts w:asciiTheme="majorHAnsi" w:eastAsiaTheme="majorEastAsia" w:hAnsiTheme="majorHAnsi" w:cstheme="majorBidi"/>
      <w:b/>
      <w:bCs/>
      <w:sz w:val="28"/>
    </w:rPr>
  </w:style>
  <w:style w:type="character" w:customStyle="1" w:styleId="Heading4Char">
    <w:name w:val="Heading 4 Char"/>
    <w:basedOn w:val="DefaultParagraphFont"/>
    <w:link w:val="Heading4"/>
    <w:uiPriority w:val="9"/>
    <w:rsid w:val="004A392D"/>
    <w:rPr>
      <w:rFonts w:asciiTheme="majorHAnsi" w:eastAsiaTheme="majorEastAsia" w:hAnsiTheme="majorHAnsi" w:cstheme="majorBidi"/>
      <w:b/>
      <w:bCs/>
      <w:iCs/>
      <w:sz w:val="26"/>
    </w:rPr>
  </w:style>
  <w:style w:type="character" w:customStyle="1" w:styleId="Heading5Char">
    <w:name w:val="Heading 5 Char"/>
    <w:basedOn w:val="DefaultParagraphFont"/>
    <w:link w:val="Heading5"/>
    <w:uiPriority w:val="9"/>
    <w:rsid w:val="004A392D"/>
    <w:rPr>
      <w:rFonts w:asciiTheme="majorHAnsi" w:eastAsiaTheme="majorEastAsia" w:hAnsiTheme="majorHAnsi" w:cstheme="majorBidi"/>
      <w:b/>
      <w:bCs/>
      <w:sz w:val="24"/>
    </w:rPr>
  </w:style>
  <w:style w:type="character" w:customStyle="1" w:styleId="Heading6Char">
    <w:name w:val="Heading 6 Char"/>
    <w:basedOn w:val="DefaultParagraphFont"/>
    <w:link w:val="Heading6"/>
    <w:uiPriority w:val="9"/>
    <w:semiHidden/>
    <w:rsid w:val="00F8518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A392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A392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A392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A392D"/>
    <w:pPr>
      <w:pBdr>
        <w:bottom w:val="single" w:sz="4" w:space="1" w:color="auto"/>
      </w:pBdr>
      <w:spacing w:line="360" w:lineRule="auto"/>
      <w:contextualSpacing/>
    </w:pPr>
    <w:rPr>
      <w:rFonts w:asciiTheme="majorHAnsi" w:eastAsiaTheme="majorEastAsia" w:hAnsiTheme="majorHAnsi" w:cstheme="majorBidi"/>
      <w:b/>
      <w:spacing w:val="5"/>
      <w:sz w:val="36"/>
      <w:szCs w:val="52"/>
    </w:rPr>
  </w:style>
  <w:style w:type="character" w:customStyle="1" w:styleId="TitleChar">
    <w:name w:val="Title Char"/>
    <w:basedOn w:val="DefaultParagraphFont"/>
    <w:link w:val="Title"/>
    <w:uiPriority w:val="10"/>
    <w:rsid w:val="004A392D"/>
    <w:rPr>
      <w:rFonts w:asciiTheme="majorHAnsi" w:eastAsiaTheme="majorEastAsia" w:hAnsiTheme="majorHAnsi" w:cstheme="majorBidi"/>
      <w:b/>
      <w:spacing w:val="5"/>
      <w:sz w:val="36"/>
      <w:szCs w:val="52"/>
    </w:rPr>
  </w:style>
  <w:style w:type="paragraph" w:styleId="Subtitle">
    <w:name w:val="Subtitle"/>
    <w:basedOn w:val="Normal"/>
    <w:next w:val="Normal"/>
    <w:link w:val="SubtitleChar"/>
    <w:uiPriority w:val="11"/>
    <w:qFormat/>
    <w:rsid w:val="004A392D"/>
    <w:pPr>
      <w:spacing w:after="600"/>
    </w:pPr>
    <w:rPr>
      <w:rFonts w:asciiTheme="majorHAnsi" w:eastAsiaTheme="majorEastAsia" w:hAnsiTheme="majorHAnsi" w:cstheme="majorBidi"/>
      <w:b/>
      <w:i/>
      <w:iCs/>
      <w:spacing w:val="13"/>
      <w:sz w:val="32"/>
      <w:szCs w:val="24"/>
    </w:rPr>
  </w:style>
  <w:style w:type="character" w:customStyle="1" w:styleId="SubtitleChar">
    <w:name w:val="Subtitle Char"/>
    <w:basedOn w:val="DefaultParagraphFont"/>
    <w:link w:val="Subtitle"/>
    <w:uiPriority w:val="11"/>
    <w:rsid w:val="004A392D"/>
    <w:rPr>
      <w:rFonts w:asciiTheme="majorHAnsi" w:eastAsiaTheme="majorEastAsia" w:hAnsiTheme="majorHAnsi" w:cstheme="majorBidi"/>
      <w:b/>
      <w:i/>
      <w:iCs/>
      <w:spacing w:val="13"/>
      <w:sz w:val="32"/>
      <w:szCs w:val="24"/>
    </w:rPr>
  </w:style>
  <w:style w:type="character" w:styleId="Strong">
    <w:name w:val="Strong"/>
    <w:uiPriority w:val="22"/>
    <w:rsid w:val="00F85186"/>
    <w:rPr>
      <w:b/>
      <w:bCs/>
    </w:rPr>
  </w:style>
  <w:style w:type="character" w:styleId="Emphasis">
    <w:name w:val="Emphasis"/>
    <w:uiPriority w:val="20"/>
    <w:rsid w:val="00F85186"/>
    <w:rPr>
      <w:b/>
      <w:bCs/>
      <w:i/>
      <w:iCs/>
      <w:spacing w:val="10"/>
      <w:bdr w:val="none" w:sz="0" w:space="0" w:color="auto"/>
      <w:shd w:val="clear" w:color="auto" w:fill="auto"/>
    </w:rPr>
  </w:style>
  <w:style w:type="paragraph" w:styleId="NoSpacing">
    <w:name w:val="No Spacing"/>
    <w:uiPriority w:val="1"/>
    <w:rsid w:val="00FE363E"/>
    <w:rPr>
      <w:sz w:val="24"/>
    </w:rPr>
  </w:style>
  <w:style w:type="paragraph" w:styleId="ListParagraph">
    <w:name w:val="List Paragraph"/>
    <w:basedOn w:val="Normal"/>
    <w:uiPriority w:val="34"/>
    <w:rsid w:val="00F85186"/>
    <w:pPr>
      <w:ind w:left="720"/>
      <w:contextualSpacing/>
    </w:pPr>
  </w:style>
  <w:style w:type="paragraph" w:styleId="Quote">
    <w:name w:val="Quote"/>
    <w:basedOn w:val="Normal"/>
    <w:next w:val="Normal"/>
    <w:link w:val="QuoteChar"/>
    <w:uiPriority w:val="29"/>
    <w:rsid w:val="00F85186"/>
    <w:pPr>
      <w:spacing w:before="200"/>
      <w:ind w:left="360" w:right="360"/>
    </w:pPr>
    <w:rPr>
      <w:i/>
      <w:iCs/>
    </w:rPr>
  </w:style>
  <w:style w:type="character" w:customStyle="1" w:styleId="QuoteChar">
    <w:name w:val="Quote Char"/>
    <w:basedOn w:val="DefaultParagraphFont"/>
    <w:link w:val="Quote"/>
    <w:uiPriority w:val="29"/>
    <w:rsid w:val="00F85186"/>
    <w:rPr>
      <w:i/>
      <w:iCs/>
    </w:rPr>
  </w:style>
  <w:style w:type="paragraph" w:styleId="IntenseQuote">
    <w:name w:val="Intense Quote"/>
    <w:basedOn w:val="Normal"/>
    <w:next w:val="Normal"/>
    <w:link w:val="IntenseQuoteChar"/>
    <w:uiPriority w:val="30"/>
    <w:rsid w:val="00F8518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85186"/>
    <w:rPr>
      <w:b/>
      <w:bCs/>
      <w:i/>
      <w:iCs/>
    </w:rPr>
  </w:style>
  <w:style w:type="character" w:styleId="SubtleEmphasis">
    <w:name w:val="Subtle Emphasis"/>
    <w:uiPriority w:val="19"/>
    <w:rsid w:val="00F85186"/>
    <w:rPr>
      <w:i/>
      <w:iCs/>
    </w:rPr>
  </w:style>
  <w:style w:type="character" w:styleId="IntenseEmphasis">
    <w:name w:val="Intense Emphasis"/>
    <w:uiPriority w:val="21"/>
    <w:rsid w:val="00F85186"/>
    <w:rPr>
      <w:b/>
      <w:bCs/>
    </w:rPr>
  </w:style>
  <w:style w:type="character" w:styleId="SubtleReference">
    <w:name w:val="Subtle Reference"/>
    <w:uiPriority w:val="31"/>
    <w:rsid w:val="00F85186"/>
    <w:rPr>
      <w:smallCaps/>
    </w:rPr>
  </w:style>
  <w:style w:type="character" w:styleId="IntenseReference">
    <w:name w:val="Intense Reference"/>
    <w:uiPriority w:val="32"/>
    <w:rsid w:val="00F85186"/>
    <w:rPr>
      <w:smallCaps/>
      <w:spacing w:val="5"/>
      <w:u w:val="single"/>
    </w:rPr>
  </w:style>
  <w:style w:type="character" w:styleId="BookTitle">
    <w:name w:val="Book Title"/>
    <w:uiPriority w:val="33"/>
    <w:rsid w:val="00F85186"/>
    <w:rPr>
      <w:i/>
      <w:iCs/>
      <w:smallCaps/>
      <w:spacing w:val="5"/>
    </w:rPr>
  </w:style>
  <w:style w:type="paragraph" w:styleId="TOCHeading">
    <w:name w:val="TOC Heading"/>
    <w:basedOn w:val="Heading1"/>
    <w:next w:val="Normal"/>
    <w:uiPriority w:val="39"/>
    <w:semiHidden/>
    <w:unhideWhenUsed/>
    <w:qFormat/>
    <w:rsid w:val="004A392D"/>
    <w:pPr>
      <w:outlineLvl w:val="9"/>
    </w:pPr>
    <w:rPr>
      <w:lang w:bidi="en-US"/>
    </w:rPr>
  </w:style>
  <w:style w:type="paragraph" w:styleId="Header">
    <w:name w:val="header"/>
    <w:basedOn w:val="Normal"/>
    <w:link w:val="HeaderChar"/>
    <w:uiPriority w:val="99"/>
    <w:unhideWhenUsed/>
    <w:rsid w:val="00F72078"/>
    <w:pPr>
      <w:tabs>
        <w:tab w:val="center" w:pos="4680"/>
        <w:tab w:val="right" w:pos="9360"/>
      </w:tabs>
    </w:pPr>
  </w:style>
  <w:style w:type="character" w:customStyle="1" w:styleId="HeaderChar">
    <w:name w:val="Header Char"/>
    <w:basedOn w:val="DefaultParagraphFont"/>
    <w:link w:val="Header"/>
    <w:uiPriority w:val="99"/>
    <w:rsid w:val="00F72078"/>
    <w:rPr>
      <w:sz w:val="24"/>
    </w:rPr>
  </w:style>
  <w:style w:type="paragraph" w:styleId="Footer">
    <w:name w:val="footer"/>
    <w:basedOn w:val="Normal"/>
    <w:link w:val="FooterChar"/>
    <w:uiPriority w:val="99"/>
    <w:unhideWhenUsed/>
    <w:rsid w:val="00F72078"/>
    <w:pPr>
      <w:tabs>
        <w:tab w:val="center" w:pos="4680"/>
        <w:tab w:val="right" w:pos="9360"/>
      </w:tabs>
    </w:pPr>
  </w:style>
  <w:style w:type="character" w:customStyle="1" w:styleId="FooterChar">
    <w:name w:val="Footer Char"/>
    <w:basedOn w:val="DefaultParagraphFont"/>
    <w:link w:val="Footer"/>
    <w:uiPriority w:val="99"/>
    <w:rsid w:val="00F72078"/>
    <w:rPr>
      <w:sz w:val="24"/>
    </w:rPr>
  </w:style>
  <w:style w:type="paragraph" w:styleId="BalloonText">
    <w:name w:val="Balloon Text"/>
    <w:basedOn w:val="Normal"/>
    <w:link w:val="BalloonTextChar"/>
    <w:uiPriority w:val="99"/>
    <w:semiHidden/>
    <w:unhideWhenUsed/>
    <w:rsid w:val="00F72078"/>
    <w:rPr>
      <w:rFonts w:ascii="Tahoma" w:hAnsi="Tahoma" w:cs="Tahoma"/>
      <w:sz w:val="16"/>
      <w:szCs w:val="16"/>
    </w:rPr>
  </w:style>
  <w:style w:type="character" w:customStyle="1" w:styleId="BalloonTextChar">
    <w:name w:val="Balloon Text Char"/>
    <w:basedOn w:val="DefaultParagraphFont"/>
    <w:link w:val="BalloonText"/>
    <w:uiPriority w:val="99"/>
    <w:semiHidden/>
    <w:rsid w:val="00F72078"/>
    <w:rPr>
      <w:rFonts w:ascii="Tahoma" w:hAnsi="Tahoma" w:cs="Tahoma"/>
      <w:sz w:val="16"/>
      <w:szCs w:val="16"/>
    </w:rPr>
  </w:style>
  <w:style w:type="character" w:customStyle="1" w:styleId="reference-text">
    <w:name w:val="reference-text"/>
    <w:rsid w:val="00BD0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A2D8E-6874-4F4B-8E91-89AAE377D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Williamson</dc:creator>
  <cp:keywords/>
  <dc:description/>
  <cp:lastModifiedBy>Williamson, Michele (MECP)</cp:lastModifiedBy>
  <cp:revision>11</cp:revision>
  <dcterms:created xsi:type="dcterms:W3CDTF">2020-09-19T03:18:00Z</dcterms:created>
  <dcterms:modified xsi:type="dcterms:W3CDTF">2020-09-21T15:39:00Z</dcterms:modified>
</cp:coreProperties>
</file>