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60BD5" w14:textId="77777777" w:rsidR="00C33EF0" w:rsidRDefault="00BA46F5">
      <w:pPr>
        <w:pStyle w:val="Title"/>
        <w:jc w:val="center"/>
      </w:pPr>
      <w:r>
        <w:t>Catchment Rainfall and Reservoir Inflow Relationship (2015–2019)</w:t>
      </w:r>
    </w:p>
    <w:p w14:paraId="7C00C903" w14:textId="77777777" w:rsidR="00C33EF0" w:rsidRDefault="00BA46F5">
      <w:pPr>
        <w:pStyle w:val="Subtitle"/>
        <w:jc w:val="center"/>
      </w:pPr>
      <w:r>
        <w:t>31 January 2026</w:t>
      </w:r>
    </w:p>
    <w:p w14:paraId="452C6D34" w14:textId="77777777" w:rsidR="00C33EF0" w:rsidRDefault="00BA46F5">
      <w:r>
        <w:br w:type="page"/>
      </w:r>
    </w:p>
    <w:p w14:paraId="54663A22" w14:textId="77777777" w:rsidR="00C33EF0" w:rsidRDefault="00BA46F5">
      <w:pPr>
        <w:pStyle w:val="TOCHeading"/>
      </w:pPr>
      <w:r>
        <w:lastRenderedPageBreak/>
        <w:t>Table of Contents</w:t>
      </w:r>
    </w:p>
    <w:p w14:paraId="249849C3" w14:textId="7422C1A5" w:rsidR="00E37D1D" w:rsidRDefault="00BA46F5">
      <w:pPr>
        <w:pStyle w:val="TOC1"/>
        <w:tabs>
          <w:tab w:val="right" w:leader="dot" w:pos="9062"/>
        </w:tabs>
        <w:rPr>
          <w:noProof/>
          <w:kern w:val="2"/>
          <w:sz w:val="24"/>
          <w:szCs w:val="24"/>
          <w:lang w:val="en-AU" w:eastAsia="en-AU"/>
          <w14:ligatures w14:val="standardContextual"/>
        </w:rPr>
      </w:pPr>
      <w:r>
        <w:fldChar w:fldCharType="begin"/>
      </w:r>
      <w:r>
        <w:instrText>TOC \o "1-3" \h \z \u</w:instrText>
      </w:r>
      <w:r>
        <w:fldChar w:fldCharType="separate"/>
      </w:r>
      <w:hyperlink w:anchor="_Toc220775041" w:history="1">
        <w:r w:rsidR="00E37D1D" w:rsidRPr="005F0E9E">
          <w:rPr>
            <w:rStyle w:val="Hyperlink"/>
            <w:noProof/>
          </w:rPr>
          <w:t>1. Introduction</w:t>
        </w:r>
        <w:r w:rsidR="00E37D1D">
          <w:rPr>
            <w:noProof/>
            <w:webHidden/>
          </w:rPr>
          <w:tab/>
        </w:r>
        <w:r w:rsidR="00E37D1D">
          <w:rPr>
            <w:noProof/>
            <w:webHidden/>
          </w:rPr>
          <w:fldChar w:fldCharType="begin"/>
        </w:r>
        <w:r w:rsidR="00E37D1D">
          <w:rPr>
            <w:noProof/>
            <w:webHidden/>
          </w:rPr>
          <w:instrText xml:space="preserve"> PAGEREF _Toc220775041 \h </w:instrText>
        </w:r>
        <w:r w:rsidR="00E37D1D">
          <w:rPr>
            <w:noProof/>
            <w:webHidden/>
          </w:rPr>
        </w:r>
        <w:r w:rsidR="00E37D1D">
          <w:rPr>
            <w:noProof/>
            <w:webHidden/>
          </w:rPr>
          <w:fldChar w:fldCharType="separate"/>
        </w:r>
        <w:r w:rsidR="00E37D1D">
          <w:rPr>
            <w:noProof/>
            <w:webHidden/>
          </w:rPr>
          <w:t>3</w:t>
        </w:r>
        <w:r w:rsidR="00E37D1D">
          <w:rPr>
            <w:noProof/>
            <w:webHidden/>
          </w:rPr>
          <w:fldChar w:fldCharType="end"/>
        </w:r>
      </w:hyperlink>
    </w:p>
    <w:p w14:paraId="015291FD" w14:textId="67A53E23" w:rsidR="00E37D1D" w:rsidRDefault="00E37D1D">
      <w:pPr>
        <w:pStyle w:val="TOC1"/>
        <w:tabs>
          <w:tab w:val="right" w:leader="dot" w:pos="9062"/>
        </w:tabs>
        <w:rPr>
          <w:noProof/>
          <w:kern w:val="2"/>
          <w:sz w:val="24"/>
          <w:szCs w:val="24"/>
          <w:lang w:val="en-AU" w:eastAsia="en-AU"/>
          <w14:ligatures w14:val="standardContextual"/>
        </w:rPr>
      </w:pPr>
      <w:hyperlink w:anchor="_Toc220775042" w:history="1">
        <w:r w:rsidRPr="005F0E9E">
          <w:rPr>
            <w:rStyle w:val="Hyperlink"/>
            <w:noProof/>
          </w:rPr>
          <w:t>2. Objectives</w:t>
        </w:r>
        <w:r>
          <w:rPr>
            <w:noProof/>
            <w:webHidden/>
          </w:rPr>
          <w:tab/>
        </w:r>
        <w:r>
          <w:rPr>
            <w:noProof/>
            <w:webHidden/>
          </w:rPr>
          <w:fldChar w:fldCharType="begin"/>
        </w:r>
        <w:r>
          <w:rPr>
            <w:noProof/>
            <w:webHidden/>
          </w:rPr>
          <w:instrText xml:space="preserve"> PAGEREF _Toc220775042 \h </w:instrText>
        </w:r>
        <w:r>
          <w:rPr>
            <w:noProof/>
            <w:webHidden/>
          </w:rPr>
        </w:r>
        <w:r>
          <w:rPr>
            <w:noProof/>
            <w:webHidden/>
          </w:rPr>
          <w:fldChar w:fldCharType="separate"/>
        </w:r>
        <w:r>
          <w:rPr>
            <w:noProof/>
            <w:webHidden/>
          </w:rPr>
          <w:t>3</w:t>
        </w:r>
        <w:r>
          <w:rPr>
            <w:noProof/>
            <w:webHidden/>
          </w:rPr>
          <w:fldChar w:fldCharType="end"/>
        </w:r>
      </w:hyperlink>
    </w:p>
    <w:p w14:paraId="57B749B6" w14:textId="426F37C2" w:rsidR="00E37D1D" w:rsidRDefault="00E37D1D">
      <w:pPr>
        <w:pStyle w:val="TOC1"/>
        <w:tabs>
          <w:tab w:val="right" w:leader="dot" w:pos="9062"/>
        </w:tabs>
        <w:rPr>
          <w:noProof/>
          <w:kern w:val="2"/>
          <w:sz w:val="24"/>
          <w:szCs w:val="24"/>
          <w:lang w:val="en-AU" w:eastAsia="en-AU"/>
          <w14:ligatures w14:val="standardContextual"/>
        </w:rPr>
      </w:pPr>
      <w:hyperlink w:anchor="_Toc220775043" w:history="1">
        <w:r w:rsidRPr="005F0E9E">
          <w:rPr>
            <w:rStyle w:val="Hyperlink"/>
            <w:noProof/>
          </w:rPr>
          <w:t>3. Description of Dataset</w:t>
        </w:r>
        <w:r>
          <w:rPr>
            <w:noProof/>
            <w:webHidden/>
          </w:rPr>
          <w:tab/>
        </w:r>
        <w:r>
          <w:rPr>
            <w:noProof/>
            <w:webHidden/>
          </w:rPr>
          <w:fldChar w:fldCharType="begin"/>
        </w:r>
        <w:r>
          <w:rPr>
            <w:noProof/>
            <w:webHidden/>
          </w:rPr>
          <w:instrText xml:space="preserve"> PAGEREF _Toc220775043 \h </w:instrText>
        </w:r>
        <w:r>
          <w:rPr>
            <w:noProof/>
            <w:webHidden/>
          </w:rPr>
        </w:r>
        <w:r>
          <w:rPr>
            <w:noProof/>
            <w:webHidden/>
          </w:rPr>
          <w:fldChar w:fldCharType="separate"/>
        </w:r>
        <w:r>
          <w:rPr>
            <w:noProof/>
            <w:webHidden/>
          </w:rPr>
          <w:t>3</w:t>
        </w:r>
        <w:r>
          <w:rPr>
            <w:noProof/>
            <w:webHidden/>
          </w:rPr>
          <w:fldChar w:fldCharType="end"/>
        </w:r>
      </w:hyperlink>
    </w:p>
    <w:p w14:paraId="2D93AACE" w14:textId="7EE47021" w:rsidR="00E37D1D" w:rsidRDefault="00E37D1D">
      <w:pPr>
        <w:pStyle w:val="TOC1"/>
        <w:tabs>
          <w:tab w:val="right" w:leader="dot" w:pos="9062"/>
        </w:tabs>
        <w:rPr>
          <w:noProof/>
          <w:kern w:val="2"/>
          <w:sz w:val="24"/>
          <w:szCs w:val="24"/>
          <w:lang w:val="en-AU" w:eastAsia="en-AU"/>
          <w14:ligatures w14:val="standardContextual"/>
        </w:rPr>
      </w:pPr>
      <w:hyperlink w:anchor="_Toc220775044" w:history="1">
        <w:r w:rsidRPr="005F0E9E">
          <w:rPr>
            <w:rStyle w:val="Hyperlink"/>
            <w:noProof/>
          </w:rPr>
          <w:t>4. Analysis</w:t>
        </w:r>
        <w:r>
          <w:rPr>
            <w:noProof/>
            <w:webHidden/>
          </w:rPr>
          <w:tab/>
        </w:r>
        <w:r>
          <w:rPr>
            <w:noProof/>
            <w:webHidden/>
          </w:rPr>
          <w:fldChar w:fldCharType="begin"/>
        </w:r>
        <w:r>
          <w:rPr>
            <w:noProof/>
            <w:webHidden/>
          </w:rPr>
          <w:instrText xml:space="preserve"> PAGEREF _Toc220775044 \h </w:instrText>
        </w:r>
        <w:r>
          <w:rPr>
            <w:noProof/>
            <w:webHidden/>
          </w:rPr>
        </w:r>
        <w:r>
          <w:rPr>
            <w:noProof/>
            <w:webHidden/>
          </w:rPr>
          <w:fldChar w:fldCharType="separate"/>
        </w:r>
        <w:r>
          <w:rPr>
            <w:noProof/>
            <w:webHidden/>
          </w:rPr>
          <w:t>4</w:t>
        </w:r>
        <w:r>
          <w:rPr>
            <w:noProof/>
            <w:webHidden/>
          </w:rPr>
          <w:fldChar w:fldCharType="end"/>
        </w:r>
      </w:hyperlink>
    </w:p>
    <w:p w14:paraId="150C5E0E" w14:textId="74572F1C" w:rsidR="00E37D1D" w:rsidRDefault="00E37D1D">
      <w:pPr>
        <w:pStyle w:val="TOC2"/>
        <w:tabs>
          <w:tab w:val="right" w:leader="dot" w:pos="9062"/>
        </w:tabs>
        <w:rPr>
          <w:noProof/>
          <w:kern w:val="2"/>
          <w:sz w:val="24"/>
          <w:szCs w:val="24"/>
          <w:lang w:val="en-AU" w:eastAsia="en-AU"/>
          <w14:ligatures w14:val="standardContextual"/>
        </w:rPr>
      </w:pPr>
      <w:hyperlink w:anchor="_Toc220775045" w:history="1">
        <w:r w:rsidRPr="005F0E9E">
          <w:rPr>
            <w:rStyle w:val="Hyperlink"/>
            <w:noProof/>
          </w:rPr>
          <w:t>4.1 System storage context (all reservoirs)</w:t>
        </w:r>
        <w:r>
          <w:rPr>
            <w:noProof/>
            <w:webHidden/>
          </w:rPr>
          <w:tab/>
        </w:r>
        <w:r>
          <w:rPr>
            <w:noProof/>
            <w:webHidden/>
          </w:rPr>
          <w:fldChar w:fldCharType="begin"/>
        </w:r>
        <w:r>
          <w:rPr>
            <w:noProof/>
            <w:webHidden/>
          </w:rPr>
          <w:instrText xml:space="preserve"> PAGEREF _Toc220775045 \h </w:instrText>
        </w:r>
        <w:r>
          <w:rPr>
            <w:noProof/>
            <w:webHidden/>
          </w:rPr>
        </w:r>
        <w:r>
          <w:rPr>
            <w:noProof/>
            <w:webHidden/>
          </w:rPr>
          <w:fldChar w:fldCharType="separate"/>
        </w:r>
        <w:r>
          <w:rPr>
            <w:noProof/>
            <w:webHidden/>
          </w:rPr>
          <w:t>4</w:t>
        </w:r>
        <w:r>
          <w:rPr>
            <w:noProof/>
            <w:webHidden/>
          </w:rPr>
          <w:fldChar w:fldCharType="end"/>
        </w:r>
      </w:hyperlink>
    </w:p>
    <w:p w14:paraId="168101ED" w14:textId="460F987C" w:rsidR="00E37D1D" w:rsidRDefault="00E37D1D">
      <w:pPr>
        <w:pStyle w:val="TOC2"/>
        <w:tabs>
          <w:tab w:val="right" w:leader="dot" w:pos="9062"/>
        </w:tabs>
        <w:rPr>
          <w:noProof/>
          <w:kern w:val="2"/>
          <w:sz w:val="24"/>
          <w:szCs w:val="24"/>
          <w:lang w:val="en-AU" w:eastAsia="en-AU"/>
          <w14:ligatures w14:val="standardContextual"/>
        </w:rPr>
      </w:pPr>
      <w:hyperlink w:anchor="_Toc220775046" w:history="1">
        <w:r w:rsidRPr="005F0E9E">
          <w:rPr>
            <w:rStyle w:val="Hyperlink"/>
            <w:noProof/>
          </w:rPr>
          <w:t>4.2 Rainfall and inflow time-series behaviour (2017)</w:t>
        </w:r>
        <w:r>
          <w:rPr>
            <w:noProof/>
            <w:webHidden/>
          </w:rPr>
          <w:tab/>
        </w:r>
        <w:r>
          <w:rPr>
            <w:noProof/>
            <w:webHidden/>
          </w:rPr>
          <w:fldChar w:fldCharType="begin"/>
        </w:r>
        <w:r>
          <w:rPr>
            <w:noProof/>
            <w:webHidden/>
          </w:rPr>
          <w:instrText xml:space="preserve"> PAGEREF _Toc220775046 \h </w:instrText>
        </w:r>
        <w:r>
          <w:rPr>
            <w:noProof/>
            <w:webHidden/>
          </w:rPr>
        </w:r>
        <w:r>
          <w:rPr>
            <w:noProof/>
            <w:webHidden/>
          </w:rPr>
          <w:fldChar w:fldCharType="separate"/>
        </w:r>
        <w:r>
          <w:rPr>
            <w:noProof/>
            <w:webHidden/>
          </w:rPr>
          <w:t>5</w:t>
        </w:r>
        <w:r>
          <w:rPr>
            <w:noProof/>
            <w:webHidden/>
          </w:rPr>
          <w:fldChar w:fldCharType="end"/>
        </w:r>
      </w:hyperlink>
    </w:p>
    <w:p w14:paraId="6E339578" w14:textId="0E303AF5" w:rsidR="00E37D1D" w:rsidRDefault="00E37D1D">
      <w:pPr>
        <w:pStyle w:val="TOC2"/>
        <w:tabs>
          <w:tab w:val="right" w:leader="dot" w:pos="9062"/>
        </w:tabs>
        <w:rPr>
          <w:noProof/>
          <w:kern w:val="2"/>
          <w:sz w:val="24"/>
          <w:szCs w:val="24"/>
          <w:lang w:val="en-AU" w:eastAsia="en-AU"/>
          <w14:ligatures w14:val="standardContextual"/>
        </w:rPr>
      </w:pPr>
      <w:hyperlink w:anchor="_Toc220775047" w:history="1">
        <w:r w:rsidRPr="005F0E9E">
          <w:rPr>
            <w:rStyle w:val="Hyperlink"/>
            <w:noProof/>
          </w:rPr>
          <w:t>4.3 Lagged rainfall–inflow correlation (0–14 days)</w:t>
        </w:r>
        <w:r>
          <w:rPr>
            <w:noProof/>
            <w:webHidden/>
          </w:rPr>
          <w:tab/>
        </w:r>
        <w:r>
          <w:rPr>
            <w:noProof/>
            <w:webHidden/>
          </w:rPr>
          <w:fldChar w:fldCharType="begin"/>
        </w:r>
        <w:r>
          <w:rPr>
            <w:noProof/>
            <w:webHidden/>
          </w:rPr>
          <w:instrText xml:space="preserve"> PAGEREF _Toc220775047 \h </w:instrText>
        </w:r>
        <w:r>
          <w:rPr>
            <w:noProof/>
            <w:webHidden/>
          </w:rPr>
        </w:r>
        <w:r>
          <w:rPr>
            <w:noProof/>
            <w:webHidden/>
          </w:rPr>
          <w:fldChar w:fldCharType="separate"/>
        </w:r>
        <w:r>
          <w:rPr>
            <w:noProof/>
            <w:webHidden/>
          </w:rPr>
          <w:t>6</w:t>
        </w:r>
        <w:r>
          <w:rPr>
            <w:noProof/>
            <w:webHidden/>
          </w:rPr>
          <w:fldChar w:fldCharType="end"/>
        </w:r>
      </w:hyperlink>
    </w:p>
    <w:p w14:paraId="4BFA1B86" w14:textId="5892146E" w:rsidR="00E37D1D" w:rsidRDefault="00E37D1D">
      <w:pPr>
        <w:pStyle w:val="TOC2"/>
        <w:tabs>
          <w:tab w:val="right" w:leader="dot" w:pos="9062"/>
        </w:tabs>
        <w:rPr>
          <w:noProof/>
          <w:kern w:val="2"/>
          <w:sz w:val="24"/>
          <w:szCs w:val="24"/>
          <w:lang w:val="en-AU" w:eastAsia="en-AU"/>
          <w14:ligatures w14:val="standardContextual"/>
        </w:rPr>
      </w:pPr>
      <w:hyperlink w:anchor="_Toc220775048" w:history="1">
        <w:r w:rsidRPr="005F0E9E">
          <w:rPr>
            <w:rStyle w:val="Hyperlink"/>
            <w:noProof/>
          </w:rPr>
          <w:t>4.4 API calibration (lag = 0 days, missing rainfall treated as 0)</w:t>
        </w:r>
        <w:r>
          <w:rPr>
            <w:noProof/>
            <w:webHidden/>
          </w:rPr>
          <w:tab/>
        </w:r>
        <w:r>
          <w:rPr>
            <w:noProof/>
            <w:webHidden/>
          </w:rPr>
          <w:fldChar w:fldCharType="begin"/>
        </w:r>
        <w:r>
          <w:rPr>
            <w:noProof/>
            <w:webHidden/>
          </w:rPr>
          <w:instrText xml:space="preserve"> PAGEREF _Toc220775048 \h </w:instrText>
        </w:r>
        <w:r>
          <w:rPr>
            <w:noProof/>
            <w:webHidden/>
          </w:rPr>
        </w:r>
        <w:r>
          <w:rPr>
            <w:noProof/>
            <w:webHidden/>
          </w:rPr>
          <w:fldChar w:fldCharType="separate"/>
        </w:r>
        <w:r>
          <w:rPr>
            <w:noProof/>
            <w:webHidden/>
          </w:rPr>
          <w:t>7</w:t>
        </w:r>
        <w:r>
          <w:rPr>
            <w:noProof/>
            <w:webHidden/>
          </w:rPr>
          <w:fldChar w:fldCharType="end"/>
        </w:r>
      </w:hyperlink>
    </w:p>
    <w:p w14:paraId="54FEB221" w14:textId="1F939763" w:rsidR="00E37D1D" w:rsidRDefault="00E37D1D">
      <w:pPr>
        <w:pStyle w:val="TOC2"/>
        <w:tabs>
          <w:tab w:val="right" w:leader="dot" w:pos="9062"/>
        </w:tabs>
        <w:rPr>
          <w:noProof/>
          <w:kern w:val="2"/>
          <w:sz w:val="24"/>
          <w:szCs w:val="24"/>
          <w:lang w:val="en-AU" w:eastAsia="en-AU"/>
          <w14:ligatures w14:val="standardContextual"/>
        </w:rPr>
      </w:pPr>
      <w:hyperlink w:anchor="_Toc220775049" w:history="1">
        <w:r w:rsidRPr="005F0E9E">
          <w:rPr>
            <w:rStyle w:val="Hyperlink"/>
            <w:noProof/>
          </w:rPr>
          <w:t>4.5 API lead-time analysis (0–14 days) using optimal k</w:t>
        </w:r>
        <w:r>
          <w:rPr>
            <w:noProof/>
            <w:webHidden/>
          </w:rPr>
          <w:tab/>
        </w:r>
        <w:r>
          <w:rPr>
            <w:noProof/>
            <w:webHidden/>
          </w:rPr>
          <w:fldChar w:fldCharType="begin"/>
        </w:r>
        <w:r>
          <w:rPr>
            <w:noProof/>
            <w:webHidden/>
          </w:rPr>
          <w:instrText xml:space="preserve"> PAGEREF _Toc220775049 \h </w:instrText>
        </w:r>
        <w:r>
          <w:rPr>
            <w:noProof/>
            <w:webHidden/>
          </w:rPr>
        </w:r>
        <w:r>
          <w:rPr>
            <w:noProof/>
            <w:webHidden/>
          </w:rPr>
          <w:fldChar w:fldCharType="separate"/>
        </w:r>
        <w:r>
          <w:rPr>
            <w:noProof/>
            <w:webHidden/>
          </w:rPr>
          <w:t>8</w:t>
        </w:r>
        <w:r>
          <w:rPr>
            <w:noProof/>
            <w:webHidden/>
          </w:rPr>
          <w:fldChar w:fldCharType="end"/>
        </w:r>
      </w:hyperlink>
    </w:p>
    <w:p w14:paraId="4A047CA5" w14:textId="77F5F082" w:rsidR="00E37D1D" w:rsidRDefault="00E37D1D">
      <w:pPr>
        <w:pStyle w:val="TOC2"/>
        <w:tabs>
          <w:tab w:val="right" w:leader="dot" w:pos="9062"/>
        </w:tabs>
        <w:rPr>
          <w:noProof/>
          <w:kern w:val="2"/>
          <w:sz w:val="24"/>
          <w:szCs w:val="24"/>
          <w:lang w:val="en-AU" w:eastAsia="en-AU"/>
          <w14:ligatures w14:val="standardContextual"/>
        </w:rPr>
      </w:pPr>
      <w:hyperlink w:anchor="_Toc220775050" w:history="1">
        <w:r w:rsidRPr="005F0E9E">
          <w:rPr>
            <w:rStyle w:val="Hyperlink"/>
            <w:noProof/>
          </w:rPr>
          <w:t>4.6 Spatial context: reservoir locations</w:t>
        </w:r>
        <w:r>
          <w:rPr>
            <w:noProof/>
            <w:webHidden/>
          </w:rPr>
          <w:tab/>
        </w:r>
        <w:r>
          <w:rPr>
            <w:noProof/>
            <w:webHidden/>
          </w:rPr>
          <w:fldChar w:fldCharType="begin"/>
        </w:r>
        <w:r>
          <w:rPr>
            <w:noProof/>
            <w:webHidden/>
          </w:rPr>
          <w:instrText xml:space="preserve"> PAGEREF _Toc220775050 \h </w:instrText>
        </w:r>
        <w:r>
          <w:rPr>
            <w:noProof/>
            <w:webHidden/>
          </w:rPr>
        </w:r>
        <w:r>
          <w:rPr>
            <w:noProof/>
            <w:webHidden/>
          </w:rPr>
          <w:fldChar w:fldCharType="separate"/>
        </w:r>
        <w:r>
          <w:rPr>
            <w:noProof/>
            <w:webHidden/>
          </w:rPr>
          <w:t>9</w:t>
        </w:r>
        <w:r>
          <w:rPr>
            <w:noProof/>
            <w:webHidden/>
          </w:rPr>
          <w:fldChar w:fldCharType="end"/>
        </w:r>
      </w:hyperlink>
    </w:p>
    <w:p w14:paraId="292EABEC" w14:textId="19F6F267" w:rsidR="00E37D1D" w:rsidRDefault="00E37D1D">
      <w:pPr>
        <w:pStyle w:val="TOC1"/>
        <w:tabs>
          <w:tab w:val="right" w:leader="dot" w:pos="9062"/>
        </w:tabs>
        <w:rPr>
          <w:noProof/>
          <w:kern w:val="2"/>
          <w:sz w:val="24"/>
          <w:szCs w:val="24"/>
          <w:lang w:val="en-AU" w:eastAsia="en-AU"/>
          <w14:ligatures w14:val="standardContextual"/>
        </w:rPr>
      </w:pPr>
      <w:hyperlink w:anchor="_Toc220775051" w:history="1">
        <w:r w:rsidRPr="005F0E9E">
          <w:rPr>
            <w:rStyle w:val="Hyperlink"/>
            <w:noProof/>
          </w:rPr>
          <w:t>5. Key Findings</w:t>
        </w:r>
        <w:r>
          <w:rPr>
            <w:noProof/>
            <w:webHidden/>
          </w:rPr>
          <w:tab/>
        </w:r>
        <w:r>
          <w:rPr>
            <w:noProof/>
            <w:webHidden/>
          </w:rPr>
          <w:fldChar w:fldCharType="begin"/>
        </w:r>
        <w:r>
          <w:rPr>
            <w:noProof/>
            <w:webHidden/>
          </w:rPr>
          <w:instrText xml:space="preserve"> PAGEREF _Toc220775051 \h </w:instrText>
        </w:r>
        <w:r>
          <w:rPr>
            <w:noProof/>
            <w:webHidden/>
          </w:rPr>
        </w:r>
        <w:r>
          <w:rPr>
            <w:noProof/>
            <w:webHidden/>
          </w:rPr>
          <w:fldChar w:fldCharType="separate"/>
        </w:r>
        <w:r>
          <w:rPr>
            <w:noProof/>
            <w:webHidden/>
          </w:rPr>
          <w:t>10</w:t>
        </w:r>
        <w:r>
          <w:rPr>
            <w:noProof/>
            <w:webHidden/>
          </w:rPr>
          <w:fldChar w:fldCharType="end"/>
        </w:r>
      </w:hyperlink>
    </w:p>
    <w:p w14:paraId="7E863860" w14:textId="626925B7" w:rsidR="00E37D1D" w:rsidRDefault="00E37D1D">
      <w:pPr>
        <w:pStyle w:val="TOC1"/>
        <w:tabs>
          <w:tab w:val="right" w:leader="dot" w:pos="9062"/>
        </w:tabs>
        <w:rPr>
          <w:noProof/>
          <w:kern w:val="2"/>
          <w:sz w:val="24"/>
          <w:szCs w:val="24"/>
          <w:lang w:val="en-AU" w:eastAsia="en-AU"/>
          <w14:ligatures w14:val="standardContextual"/>
        </w:rPr>
      </w:pPr>
      <w:hyperlink w:anchor="_Toc220775052" w:history="1">
        <w:r w:rsidRPr="005F0E9E">
          <w:rPr>
            <w:rStyle w:val="Hyperlink"/>
            <w:noProof/>
          </w:rPr>
          <w:t>6. Recommendations</w:t>
        </w:r>
        <w:r>
          <w:rPr>
            <w:noProof/>
            <w:webHidden/>
          </w:rPr>
          <w:tab/>
        </w:r>
        <w:r>
          <w:rPr>
            <w:noProof/>
            <w:webHidden/>
          </w:rPr>
          <w:fldChar w:fldCharType="begin"/>
        </w:r>
        <w:r>
          <w:rPr>
            <w:noProof/>
            <w:webHidden/>
          </w:rPr>
          <w:instrText xml:space="preserve"> PAGEREF _Toc220775052 \h </w:instrText>
        </w:r>
        <w:r>
          <w:rPr>
            <w:noProof/>
            <w:webHidden/>
          </w:rPr>
        </w:r>
        <w:r>
          <w:rPr>
            <w:noProof/>
            <w:webHidden/>
          </w:rPr>
          <w:fldChar w:fldCharType="separate"/>
        </w:r>
        <w:r>
          <w:rPr>
            <w:noProof/>
            <w:webHidden/>
          </w:rPr>
          <w:t>10</w:t>
        </w:r>
        <w:r>
          <w:rPr>
            <w:noProof/>
            <w:webHidden/>
          </w:rPr>
          <w:fldChar w:fldCharType="end"/>
        </w:r>
      </w:hyperlink>
    </w:p>
    <w:p w14:paraId="4A6928CF" w14:textId="7E2DAB30" w:rsidR="00C33EF0" w:rsidRDefault="00BA46F5">
      <w:r>
        <w:fldChar w:fldCharType="end"/>
      </w:r>
    </w:p>
    <w:p w14:paraId="3F4F5CEC" w14:textId="77777777" w:rsidR="00C33EF0" w:rsidRDefault="00C33EF0"/>
    <w:p w14:paraId="62ACADC3" w14:textId="77777777" w:rsidR="00C33EF0" w:rsidRDefault="00BA46F5">
      <w:pPr>
        <w:pStyle w:val="TOCHeading"/>
      </w:pPr>
      <w:r>
        <w:t>Figures</w:t>
      </w:r>
    </w:p>
    <w:p w14:paraId="41E116ED" w14:textId="2B7EF169" w:rsidR="00E37D1D" w:rsidRDefault="00BA46F5">
      <w:pPr>
        <w:pStyle w:val="TableofFigures"/>
        <w:tabs>
          <w:tab w:val="right" w:leader="dot" w:pos="9062"/>
        </w:tabs>
        <w:rPr>
          <w:noProof/>
          <w:kern w:val="2"/>
          <w:sz w:val="24"/>
          <w:szCs w:val="24"/>
          <w:lang w:val="en-AU" w:eastAsia="en-AU"/>
          <w14:ligatures w14:val="standardContextual"/>
        </w:rPr>
      </w:pPr>
      <w:r>
        <w:fldChar w:fldCharType="begin"/>
      </w:r>
      <w:r>
        <w:instrText>TOC \h \z \c "Figure"</w:instrText>
      </w:r>
      <w:r>
        <w:fldChar w:fldCharType="separate"/>
      </w:r>
      <w:hyperlink w:anchor="_Toc220775053" w:history="1">
        <w:r w:rsidR="00E37D1D" w:rsidRPr="00C068AE">
          <w:rPr>
            <w:rStyle w:val="Hyperlink"/>
            <w:noProof/>
          </w:rPr>
          <w:t>Figure 1 – Total stored water (all reservoirs) versus total usable volume.</w:t>
        </w:r>
        <w:r w:rsidR="00E37D1D">
          <w:rPr>
            <w:noProof/>
            <w:webHidden/>
          </w:rPr>
          <w:tab/>
        </w:r>
        <w:r w:rsidR="00E37D1D">
          <w:rPr>
            <w:noProof/>
            <w:webHidden/>
          </w:rPr>
          <w:fldChar w:fldCharType="begin"/>
        </w:r>
        <w:r w:rsidR="00E37D1D">
          <w:rPr>
            <w:noProof/>
            <w:webHidden/>
          </w:rPr>
          <w:instrText xml:space="preserve"> PAGEREF _Toc220775053 \h </w:instrText>
        </w:r>
        <w:r w:rsidR="00E37D1D">
          <w:rPr>
            <w:noProof/>
            <w:webHidden/>
          </w:rPr>
        </w:r>
        <w:r w:rsidR="00E37D1D">
          <w:rPr>
            <w:noProof/>
            <w:webHidden/>
          </w:rPr>
          <w:fldChar w:fldCharType="separate"/>
        </w:r>
        <w:r w:rsidR="00E37D1D">
          <w:rPr>
            <w:noProof/>
            <w:webHidden/>
          </w:rPr>
          <w:t>4</w:t>
        </w:r>
        <w:r w:rsidR="00E37D1D">
          <w:rPr>
            <w:noProof/>
            <w:webHidden/>
          </w:rPr>
          <w:fldChar w:fldCharType="end"/>
        </w:r>
      </w:hyperlink>
    </w:p>
    <w:p w14:paraId="73396899" w14:textId="5BF28144" w:rsidR="00E37D1D" w:rsidRDefault="00E37D1D">
      <w:pPr>
        <w:pStyle w:val="TableofFigures"/>
        <w:tabs>
          <w:tab w:val="right" w:leader="dot" w:pos="9062"/>
        </w:tabs>
        <w:rPr>
          <w:noProof/>
          <w:kern w:val="2"/>
          <w:sz w:val="24"/>
          <w:szCs w:val="24"/>
          <w:lang w:val="en-AU" w:eastAsia="en-AU"/>
          <w14:ligatures w14:val="standardContextual"/>
        </w:rPr>
      </w:pPr>
      <w:hyperlink w:anchor="_Toc220775054" w:history="1">
        <w:r w:rsidRPr="00C068AE">
          <w:rPr>
            <w:rStyle w:val="Hyperlink"/>
            <w:noProof/>
          </w:rPr>
          <w:t>Figure 2 – 2017 rainfall (catchment) and inflow (streamflow) time series by reservoir (dual y-axis).</w:t>
        </w:r>
        <w:r>
          <w:rPr>
            <w:noProof/>
            <w:webHidden/>
          </w:rPr>
          <w:tab/>
        </w:r>
        <w:r>
          <w:rPr>
            <w:noProof/>
            <w:webHidden/>
          </w:rPr>
          <w:fldChar w:fldCharType="begin"/>
        </w:r>
        <w:r>
          <w:rPr>
            <w:noProof/>
            <w:webHidden/>
          </w:rPr>
          <w:instrText xml:space="preserve"> PAGEREF _Toc220775054 \h </w:instrText>
        </w:r>
        <w:r>
          <w:rPr>
            <w:noProof/>
            <w:webHidden/>
          </w:rPr>
        </w:r>
        <w:r>
          <w:rPr>
            <w:noProof/>
            <w:webHidden/>
          </w:rPr>
          <w:fldChar w:fldCharType="separate"/>
        </w:r>
        <w:r>
          <w:rPr>
            <w:noProof/>
            <w:webHidden/>
          </w:rPr>
          <w:t>5</w:t>
        </w:r>
        <w:r>
          <w:rPr>
            <w:noProof/>
            <w:webHidden/>
          </w:rPr>
          <w:fldChar w:fldCharType="end"/>
        </w:r>
      </w:hyperlink>
    </w:p>
    <w:p w14:paraId="7C6EA200" w14:textId="5AD98C0D" w:rsidR="00E37D1D" w:rsidRDefault="00E37D1D">
      <w:pPr>
        <w:pStyle w:val="TableofFigures"/>
        <w:tabs>
          <w:tab w:val="right" w:leader="dot" w:pos="9062"/>
        </w:tabs>
        <w:rPr>
          <w:noProof/>
          <w:kern w:val="2"/>
          <w:sz w:val="24"/>
          <w:szCs w:val="24"/>
          <w:lang w:val="en-AU" w:eastAsia="en-AU"/>
          <w14:ligatures w14:val="standardContextual"/>
        </w:rPr>
      </w:pPr>
      <w:hyperlink w:anchor="_Toc220775055" w:history="1">
        <w:r w:rsidRPr="00C068AE">
          <w:rPr>
            <w:rStyle w:val="Hyperlink"/>
            <w:noProof/>
          </w:rPr>
          <w:t>Figure 3 – Lagged Spearman correlation between rainfall and inflow (rainfall leading, 0–14 days).</w:t>
        </w:r>
        <w:r>
          <w:rPr>
            <w:noProof/>
            <w:webHidden/>
          </w:rPr>
          <w:tab/>
        </w:r>
        <w:r>
          <w:rPr>
            <w:noProof/>
            <w:webHidden/>
          </w:rPr>
          <w:fldChar w:fldCharType="begin"/>
        </w:r>
        <w:r>
          <w:rPr>
            <w:noProof/>
            <w:webHidden/>
          </w:rPr>
          <w:instrText xml:space="preserve"> PAGEREF _Toc220775055 \h </w:instrText>
        </w:r>
        <w:r>
          <w:rPr>
            <w:noProof/>
            <w:webHidden/>
          </w:rPr>
        </w:r>
        <w:r>
          <w:rPr>
            <w:noProof/>
            <w:webHidden/>
          </w:rPr>
          <w:fldChar w:fldCharType="separate"/>
        </w:r>
        <w:r>
          <w:rPr>
            <w:noProof/>
            <w:webHidden/>
          </w:rPr>
          <w:t>6</w:t>
        </w:r>
        <w:r>
          <w:rPr>
            <w:noProof/>
            <w:webHidden/>
          </w:rPr>
          <w:fldChar w:fldCharType="end"/>
        </w:r>
      </w:hyperlink>
    </w:p>
    <w:p w14:paraId="3B49D3E9" w14:textId="07DE4EFA" w:rsidR="00E37D1D" w:rsidRDefault="00E37D1D">
      <w:pPr>
        <w:pStyle w:val="TableofFigures"/>
        <w:tabs>
          <w:tab w:val="right" w:leader="dot" w:pos="9062"/>
        </w:tabs>
        <w:rPr>
          <w:noProof/>
          <w:kern w:val="2"/>
          <w:sz w:val="24"/>
          <w:szCs w:val="24"/>
          <w:lang w:val="en-AU" w:eastAsia="en-AU"/>
          <w14:ligatures w14:val="standardContextual"/>
        </w:rPr>
      </w:pPr>
      <w:hyperlink w:anchor="_Toc220775056" w:history="1">
        <w:r w:rsidRPr="00C068AE">
          <w:rPr>
            <w:rStyle w:val="Hyperlink"/>
            <w:noProof/>
          </w:rPr>
          <w:t>Figure 4 – API calibration: Spearman correlation versus API decay factor k (lag = 0 days).</w:t>
        </w:r>
        <w:r>
          <w:rPr>
            <w:noProof/>
            <w:webHidden/>
          </w:rPr>
          <w:tab/>
        </w:r>
        <w:r>
          <w:rPr>
            <w:noProof/>
            <w:webHidden/>
          </w:rPr>
          <w:fldChar w:fldCharType="begin"/>
        </w:r>
        <w:r>
          <w:rPr>
            <w:noProof/>
            <w:webHidden/>
          </w:rPr>
          <w:instrText xml:space="preserve"> PAGEREF _Toc220775056 \h </w:instrText>
        </w:r>
        <w:r>
          <w:rPr>
            <w:noProof/>
            <w:webHidden/>
          </w:rPr>
        </w:r>
        <w:r>
          <w:rPr>
            <w:noProof/>
            <w:webHidden/>
          </w:rPr>
          <w:fldChar w:fldCharType="separate"/>
        </w:r>
        <w:r>
          <w:rPr>
            <w:noProof/>
            <w:webHidden/>
          </w:rPr>
          <w:t>7</w:t>
        </w:r>
        <w:r>
          <w:rPr>
            <w:noProof/>
            <w:webHidden/>
          </w:rPr>
          <w:fldChar w:fldCharType="end"/>
        </w:r>
      </w:hyperlink>
    </w:p>
    <w:p w14:paraId="1A535981" w14:textId="6E21B01B" w:rsidR="00E37D1D" w:rsidRDefault="00E37D1D">
      <w:pPr>
        <w:pStyle w:val="TableofFigures"/>
        <w:tabs>
          <w:tab w:val="right" w:leader="dot" w:pos="9062"/>
        </w:tabs>
        <w:rPr>
          <w:noProof/>
          <w:kern w:val="2"/>
          <w:sz w:val="24"/>
          <w:szCs w:val="24"/>
          <w:lang w:val="en-AU" w:eastAsia="en-AU"/>
          <w14:ligatures w14:val="standardContextual"/>
        </w:rPr>
      </w:pPr>
      <w:hyperlink w:anchor="_Toc220775057" w:history="1">
        <w:r w:rsidRPr="00C068AE">
          <w:rPr>
            <w:rStyle w:val="Hyperlink"/>
            <w:noProof/>
          </w:rPr>
          <w:t>Figure 5 – API lead-time analysis: Spearman ρ versus lead time (0–14 days) at optimal k.</w:t>
        </w:r>
        <w:r>
          <w:rPr>
            <w:noProof/>
            <w:webHidden/>
          </w:rPr>
          <w:tab/>
        </w:r>
        <w:r>
          <w:rPr>
            <w:noProof/>
            <w:webHidden/>
          </w:rPr>
          <w:fldChar w:fldCharType="begin"/>
        </w:r>
        <w:r>
          <w:rPr>
            <w:noProof/>
            <w:webHidden/>
          </w:rPr>
          <w:instrText xml:space="preserve"> PAGEREF _Toc220775057 \h </w:instrText>
        </w:r>
        <w:r>
          <w:rPr>
            <w:noProof/>
            <w:webHidden/>
          </w:rPr>
        </w:r>
        <w:r>
          <w:rPr>
            <w:noProof/>
            <w:webHidden/>
          </w:rPr>
          <w:fldChar w:fldCharType="separate"/>
        </w:r>
        <w:r>
          <w:rPr>
            <w:noProof/>
            <w:webHidden/>
          </w:rPr>
          <w:t>8</w:t>
        </w:r>
        <w:r>
          <w:rPr>
            <w:noProof/>
            <w:webHidden/>
          </w:rPr>
          <w:fldChar w:fldCharType="end"/>
        </w:r>
      </w:hyperlink>
    </w:p>
    <w:p w14:paraId="0A9D64C3" w14:textId="1DA96504" w:rsidR="00E37D1D" w:rsidRDefault="00E37D1D">
      <w:pPr>
        <w:pStyle w:val="TableofFigures"/>
        <w:tabs>
          <w:tab w:val="right" w:leader="dot" w:pos="9062"/>
        </w:tabs>
        <w:rPr>
          <w:noProof/>
          <w:kern w:val="2"/>
          <w:sz w:val="24"/>
          <w:szCs w:val="24"/>
          <w:lang w:val="en-AU" w:eastAsia="en-AU"/>
          <w14:ligatures w14:val="standardContextual"/>
        </w:rPr>
      </w:pPr>
      <w:hyperlink w:anchor="_Toc220775058" w:history="1">
        <w:r w:rsidRPr="00C068AE">
          <w:rPr>
            <w:rStyle w:val="Hyperlink"/>
            <w:noProof/>
          </w:rPr>
          <w:t>Figure 6 – Reservoir locations derived from the asset register (MGA Zone 55 converted to latitude/longitude).</w:t>
        </w:r>
        <w:r>
          <w:rPr>
            <w:noProof/>
            <w:webHidden/>
          </w:rPr>
          <w:tab/>
        </w:r>
        <w:r>
          <w:rPr>
            <w:noProof/>
            <w:webHidden/>
          </w:rPr>
          <w:fldChar w:fldCharType="begin"/>
        </w:r>
        <w:r>
          <w:rPr>
            <w:noProof/>
            <w:webHidden/>
          </w:rPr>
          <w:instrText xml:space="preserve"> PAGEREF _Toc220775058 \h </w:instrText>
        </w:r>
        <w:r>
          <w:rPr>
            <w:noProof/>
            <w:webHidden/>
          </w:rPr>
        </w:r>
        <w:r>
          <w:rPr>
            <w:noProof/>
            <w:webHidden/>
          </w:rPr>
          <w:fldChar w:fldCharType="separate"/>
        </w:r>
        <w:r>
          <w:rPr>
            <w:noProof/>
            <w:webHidden/>
          </w:rPr>
          <w:t>9</w:t>
        </w:r>
        <w:r>
          <w:rPr>
            <w:noProof/>
            <w:webHidden/>
          </w:rPr>
          <w:fldChar w:fldCharType="end"/>
        </w:r>
      </w:hyperlink>
    </w:p>
    <w:p w14:paraId="6D67D314" w14:textId="532F3779" w:rsidR="00C33EF0" w:rsidRDefault="00BA46F5">
      <w:r>
        <w:fldChar w:fldCharType="end"/>
      </w:r>
    </w:p>
    <w:p w14:paraId="4319A040" w14:textId="77777777" w:rsidR="00C33EF0" w:rsidRDefault="00C33EF0"/>
    <w:p w14:paraId="49258600" w14:textId="77777777" w:rsidR="00C33EF0" w:rsidRDefault="00BA46F5">
      <w:pPr>
        <w:pStyle w:val="TOCHeading"/>
      </w:pPr>
      <w:r>
        <w:t>Tables</w:t>
      </w:r>
    </w:p>
    <w:p w14:paraId="7BF083FA" w14:textId="5ADDB9A3" w:rsidR="00E37D1D" w:rsidRDefault="00BA46F5">
      <w:pPr>
        <w:pStyle w:val="TableofFigures"/>
        <w:tabs>
          <w:tab w:val="right" w:leader="dot" w:pos="9062"/>
        </w:tabs>
        <w:rPr>
          <w:noProof/>
          <w:kern w:val="2"/>
          <w:sz w:val="24"/>
          <w:szCs w:val="24"/>
          <w:lang w:val="en-AU" w:eastAsia="en-AU"/>
          <w14:ligatures w14:val="standardContextual"/>
        </w:rPr>
      </w:pPr>
      <w:r>
        <w:fldChar w:fldCharType="begin"/>
      </w:r>
      <w:r>
        <w:instrText>TOC \h \z \c "Table"</w:instrText>
      </w:r>
      <w:r>
        <w:fldChar w:fldCharType="separate"/>
      </w:r>
      <w:hyperlink w:anchor="_Toc220775059" w:history="1">
        <w:r w:rsidR="00E37D1D" w:rsidRPr="00571A41">
          <w:rPr>
            <w:rStyle w:val="Hyperlink"/>
            <w:noProof/>
          </w:rPr>
          <w:t>Table 1 – API calibration summary (optimal k, same-day correlation, and memory time).</w:t>
        </w:r>
        <w:r w:rsidR="00E37D1D">
          <w:rPr>
            <w:noProof/>
            <w:webHidden/>
          </w:rPr>
          <w:tab/>
        </w:r>
        <w:r w:rsidR="00E37D1D">
          <w:rPr>
            <w:noProof/>
            <w:webHidden/>
          </w:rPr>
          <w:fldChar w:fldCharType="begin"/>
        </w:r>
        <w:r w:rsidR="00E37D1D">
          <w:rPr>
            <w:noProof/>
            <w:webHidden/>
          </w:rPr>
          <w:instrText xml:space="preserve"> PAGEREF _Toc220775059 \h </w:instrText>
        </w:r>
        <w:r w:rsidR="00E37D1D">
          <w:rPr>
            <w:noProof/>
            <w:webHidden/>
          </w:rPr>
        </w:r>
        <w:r w:rsidR="00E37D1D">
          <w:rPr>
            <w:noProof/>
            <w:webHidden/>
          </w:rPr>
          <w:fldChar w:fldCharType="separate"/>
        </w:r>
        <w:r w:rsidR="00E37D1D">
          <w:rPr>
            <w:noProof/>
            <w:webHidden/>
          </w:rPr>
          <w:t>7</w:t>
        </w:r>
        <w:r w:rsidR="00E37D1D">
          <w:rPr>
            <w:noProof/>
            <w:webHidden/>
          </w:rPr>
          <w:fldChar w:fldCharType="end"/>
        </w:r>
      </w:hyperlink>
    </w:p>
    <w:p w14:paraId="55041404" w14:textId="115610AF" w:rsidR="00E37D1D" w:rsidRDefault="00E37D1D">
      <w:pPr>
        <w:pStyle w:val="TableofFigures"/>
        <w:tabs>
          <w:tab w:val="right" w:leader="dot" w:pos="9062"/>
        </w:tabs>
        <w:rPr>
          <w:noProof/>
          <w:kern w:val="2"/>
          <w:sz w:val="24"/>
          <w:szCs w:val="24"/>
          <w:lang w:val="en-AU" w:eastAsia="en-AU"/>
          <w14:ligatures w14:val="standardContextual"/>
        </w:rPr>
      </w:pPr>
      <w:hyperlink w:anchor="_Toc220775060" w:history="1">
        <w:r w:rsidRPr="00571A41">
          <w:rPr>
            <w:rStyle w:val="Hyperlink"/>
            <w:noProof/>
          </w:rPr>
          <w:t>Table 2 – API lead-time analysis summary at optimal k (selected performance metrics).</w:t>
        </w:r>
        <w:r>
          <w:rPr>
            <w:noProof/>
            <w:webHidden/>
          </w:rPr>
          <w:tab/>
        </w:r>
        <w:r>
          <w:rPr>
            <w:noProof/>
            <w:webHidden/>
          </w:rPr>
          <w:fldChar w:fldCharType="begin"/>
        </w:r>
        <w:r>
          <w:rPr>
            <w:noProof/>
            <w:webHidden/>
          </w:rPr>
          <w:instrText xml:space="preserve"> PAGEREF _Toc220775060 \h </w:instrText>
        </w:r>
        <w:r>
          <w:rPr>
            <w:noProof/>
            <w:webHidden/>
          </w:rPr>
        </w:r>
        <w:r>
          <w:rPr>
            <w:noProof/>
            <w:webHidden/>
          </w:rPr>
          <w:fldChar w:fldCharType="separate"/>
        </w:r>
        <w:r>
          <w:rPr>
            <w:noProof/>
            <w:webHidden/>
          </w:rPr>
          <w:t>9</w:t>
        </w:r>
        <w:r>
          <w:rPr>
            <w:noProof/>
            <w:webHidden/>
          </w:rPr>
          <w:fldChar w:fldCharType="end"/>
        </w:r>
      </w:hyperlink>
    </w:p>
    <w:p w14:paraId="5F19AB0A" w14:textId="1880C395" w:rsidR="00C33EF0" w:rsidRDefault="00BA46F5">
      <w:r>
        <w:fldChar w:fldCharType="end"/>
      </w:r>
    </w:p>
    <w:p w14:paraId="76C380DC" w14:textId="77777777" w:rsidR="00C33EF0" w:rsidRDefault="00C33EF0"/>
    <w:p w14:paraId="45337D25" w14:textId="77777777" w:rsidR="00C33EF0" w:rsidRDefault="00BA46F5">
      <w:r>
        <w:br w:type="page"/>
      </w:r>
    </w:p>
    <w:p w14:paraId="6354CCC8" w14:textId="77777777" w:rsidR="00C33EF0" w:rsidRDefault="00BA46F5">
      <w:pPr>
        <w:pStyle w:val="Heading1"/>
      </w:pPr>
      <w:bookmarkStart w:id="0" w:name="_Toc220775041"/>
      <w:r>
        <w:t>1. Introduction</w:t>
      </w:r>
      <w:bookmarkEnd w:id="0"/>
    </w:p>
    <w:p w14:paraId="4740F46A" w14:textId="77777777" w:rsidR="00C33EF0" w:rsidRDefault="00BA46F5">
      <w:pPr>
        <w:pStyle w:val="BodyText"/>
        <w:jc w:val="both"/>
      </w:pPr>
      <w:r>
        <w:t>This report evaluates the relationship between catchment rainfall and inflow to major Melbourne Water supply reservoirs using daily time-series for 2015–2019. The primary focus is quantifying response timing and persistence using lagged rank correlation and an Antecedent Precipitation Index (API) model, and interpreting implications for short-term inflow predictability and operational planning.</w:t>
      </w:r>
    </w:p>
    <w:p w14:paraId="21ED6598" w14:textId="77777777" w:rsidR="00C33EF0" w:rsidRDefault="00C33EF0">
      <w:pPr>
        <w:pStyle w:val="BodyText"/>
      </w:pPr>
    </w:p>
    <w:p w14:paraId="2B5F3EF4" w14:textId="77777777" w:rsidR="00C33EF0" w:rsidRDefault="00BA46F5">
      <w:pPr>
        <w:pStyle w:val="Heading1"/>
      </w:pPr>
      <w:bookmarkStart w:id="1" w:name="_Toc220775042"/>
      <w:r>
        <w:t>2. Objectives</w:t>
      </w:r>
      <w:bookmarkEnd w:id="1"/>
    </w:p>
    <w:p w14:paraId="7FFEDC18" w14:textId="77777777" w:rsidR="00C33EF0" w:rsidRDefault="00BA46F5">
      <w:pPr>
        <w:pStyle w:val="BodyText"/>
        <w:jc w:val="both"/>
      </w:pPr>
      <w:r>
        <w:t>The objectives of the analysis were to characterise whole-of-system storage behaviour and quantify rainfall–inflow coupling for reservoirs with applicable rainfall and inflow data, including response lags and effective catchment memory.</w:t>
      </w:r>
    </w:p>
    <w:p w14:paraId="6F4E9388" w14:textId="77777777" w:rsidR="00C33EF0" w:rsidRDefault="00BA46F5">
      <w:pPr>
        <w:pStyle w:val="BodyText"/>
      </w:pPr>
      <w:r>
        <w:t>The specific objectives were:</w:t>
      </w:r>
    </w:p>
    <w:p w14:paraId="347EAA57" w14:textId="77777777" w:rsidR="00C33EF0" w:rsidRDefault="00BA46F5">
      <w:pPr>
        <w:pStyle w:val="ListBullet"/>
      </w:pPr>
      <w:r>
        <w:t>Summarise total stored water across all reservoirs relative to combined usable storage.</w:t>
      </w:r>
    </w:p>
    <w:p w14:paraId="7A598EAA" w14:textId="77777777" w:rsidR="00C33EF0" w:rsidRDefault="00BA46F5">
      <w:pPr>
        <w:pStyle w:val="ListBullet"/>
      </w:pPr>
      <w:r>
        <w:t>Visualise 2017 rainfall and inflow dynamics to qualitatively assess timing and seasonality.</w:t>
      </w:r>
    </w:p>
    <w:p w14:paraId="58C2FF66" w14:textId="77777777" w:rsidR="00C33EF0" w:rsidRDefault="00BA46F5">
      <w:pPr>
        <w:pStyle w:val="ListBullet"/>
      </w:pPr>
      <w:r>
        <w:t>Quantify lagged rainfall–inflow Spearman correlation for lags 0–14 days (rainfall leading).</w:t>
      </w:r>
    </w:p>
    <w:p w14:paraId="4BCCDEC5" w14:textId="77777777" w:rsidR="00C33EF0" w:rsidRDefault="00BA46F5">
      <w:pPr>
        <w:pStyle w:val="ListBullet"/>
      </w:pPr>
      <w:r>
        <w:t>Calibrate an API decay factor (k) to maximise same-day Spearman correlation between inflow and API.</w:t>
      </w:r>
    </w:p>
    <w:p w14:paraId="0D8B08EE" w14:textId="77777777" w:rsidR="00C33EF0" w:rsidRDefault="00BA46F5">
      <w:pPr>
        <w:pStyle w:val="ListBullet"/>
      </w:pPr>
      <w:r>
        <w:t>Assess API-based predictability over 0–14 day lead times and summarise forecast skill.</w:t>
      </w:r>
    </w:p>
    <w:p w14:paraId="29E25260" w14:textId="77777777" w:rsidR="00C33EF0" w:rsidRDefault="00BA46F5">
      <w:pPr>
        <w:pStyle w:val="ListBullet"/>
      </w:pPr>
      <w:r>
        <w:t>Map reservoir locations to support interpretation of spatial rainfall variability and system operations.</w:t>
      </w:r>
    </w:p>
    <w:p w14:paraId="6A7F0464" w14:textId="77777777" w:rsidR="00C33EF0" w:rsidRDefault="00C33EF0">
      <w:pPr>
        <w:pStyle w:val="BodyText"/>
      </w:pPr>
    </w:p>
    <w:p w14:paraId="25D8502A" w14:textId="77777777" w:rsidR="00C33EF0" w:rsidRDefault="00BA46F5">
      <w:pPr>
        <w:pStyle w:val="Heading1"/>
      </w:pPr>
      <w:bookmarkStart w:id="2" w:name="_Toc220775043"/>
      <w:r>
        <w:t>3. Description of Dataset</w:t>
      </w:r>
      <w:bookmarkEnd w:id="2"/>
    </w:p>
    <w:p w14:paraId="76881AF2" w14:textId="77777777" w:rsidR="00C33EF0" w:rsidRDefault="00BA46F5">
      <w:pPr>
        <w:pStyle w:val="BodyText"/>
        <w:jc w:val="both"/>
      </w:pPr>
      <w:r>
        <w:t>The source dataset is an Excel workbook containing (i) a static asset register for major reservoirs (including usable volume and coordinates) and (ii) daily time-series (2015–2019) for catchment rainfall, streamflow into reservoirs (inflow), and storage volume/percent full. Rainfall and inflow time series were available for Upper Yarra, Thomson, O’Shannassy, and Maroondah. Storage volumes were available for a broader set of service and supply storages and were used to compute total system storage.</w:t>
      </w:r>
    </w:p>
    <w:p w14:paraId="5E7E9EE3" w14:textId="77777777" w:rsidR="00C33EF0" w:rsidRDefault="00C33EF0">
      <w:pPr>
        <w:pStyle w:val="BodyText"/>
      </w:pPr>
    </w:p>
    <w:p w14:paraId="3AA256BD" w14:textId="77777777" w:rsidR="00C33EF0" w:rsidRDefault="00BA46F5">
      <w:pPr>
        <w:pStyle w:val="Heading1"/>
      </w:pPr>
      <w:bookmarkStart w:id="3" w:name="_Toc220775044"/>
      <w:r>
        <w:t>4. Analysis</w:t>
      </w:r>
      <w:bookmarkEnd w:id="3"/>
    </w:p>
    <w:p w14:paraId="00E65633" w14:textId="77777777" w:rsidR="00C33EF0" w:rsidRDefault="00BA46F5">
      <w:pPr>
        <w:pStyle w:val="Heading2"/>
      </w:pPr>
      <w:bookmarkStart w:id="4" w:name="_Toc220775045"/>
      <w:r>
        <w:t>4.1 System storage context (all reservoirs)</w:t>
      </w:r>
      <w:bookmarkEnd w:id="4"/>
    </w:p>
    <w:p w14:paraId="1F858539" w14:textId="77777777" w:rsidR="00C33EF0" w:rsidRDefault="00BA46F5">
      <w:pPr>
        <w:pStyle w:val="BodyText"/>
        <w:keepNext/>
        <w:jc w:val="both"/>
      </w:pPr>
      <w:r>
        <w:t>Figure 1 summarises total stored water across all reservoirs as a stacked area chart, alongside the summed usable volume. This provides context for the rainfall–inflow relationships by indicating periods of drawdown and refill at a system level.</w:t>
      </w:r>
    </w:p>
    <w:p w14:paraId="60549301" w14:textId="77777777" w:rsidR="00C33EF0" w:rsidRDefault="00BA46F5">
      <w:pPr>
        <w:keepNext/>
      </w:pPr>
      <w:r>
        <w:rPr>
          <w:noProof/>
        </w:rPr>
        <w:drawing>
          <wp:inline distT="0" distB="0" distL="0" distR="0" wp14:anchorId="4BEF68CF" wp14:editId="3A94B7E6">
            <wp:extent cx="5760000" cy="345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tal_stored_vs_usable_volume.png"/>
                    <pic:cNvPicPr/>
                  </pic:nvPicPr>
                  <pic:blipFill>
                    <a:blip r:embed="rId8"/>
                    <a:stretch>
                      <a:fillRect/>
                    </a:stretch>
                  </pic:blipFill>
                  <pic:spPr>
                    <a:xfrm>
                      <a:off x="0" y="0"/>
                      <a:ext cx="5760000" cy="3456000"/>
                    </a:xfrm>
                    <a:prstGeom prst="rect">
                      <a:avLst/>
                    </a:prstGeom>
                  </pic:spPr>
                </pic:pic>
              </a:graphicData>
            </a:graphic>
          </wp:inline>
        </w:drawing>
      </w:r>
    </w:p>
    <w:p w14:paraId="279874A7" w14:textId="3A309B38" w:rsidR="00C33EF0" w:rsidRDefault="00BA46F5">
      <w:pPr>
        <w:pStyle w:val="Caption"/>
        <w:keepNext/>
      </w:pPr>
      <w:bookmarkStart w:id="5" w:name="_Toc220775053"/>
      <w:r>
        <w:t xml:space="preserve">Figure </w:t>
      </w:r>
      <w:r>
        <w:fldChar w:fldCharType="begin"/>
      </w:r>
      <w:r>
        <w:instrText>SEQ Figure \* ARABIC</w:instrText>
      </w:r>
      <w:r>
        <w:fldChar w:fldCharType="separate"/>
      </w:r>
      <w:r w:rsidR="00E37D1D">
        <w:rPr>
          <w:noProof/>
        </w:rPr>
        <w:t>1</w:t>
      </w:r>
      <w:r>
        <w:fldChar w:fldCharType="end"/>
      </w:r>
      <w:r>
        <w:t xml:space="preserve"> – Total stored water (all reservoirs) versus total usable volume.</w:t>
      </w:r>
      <w:bookmarkEnd w:id="5"/>
    </w:p>
    <w:p w14:paraId="1EC00063" w14:textId="77777777" w:rsidR="00C33EF0" w:rsidRDefault="00C33EF0">
      <w:pPr>
        <w:pStyle w:val="BodyText"/>
      </w:pPr>
    </w:p>
    <w:p w14:paraId="46DBA803" w14:textId="77777777" w:rsidR="00C33EF0" w:rsidRDefault="00BA46F5">
      <w:pPr>
        <w:pStyle w:val="BodyText"/>
        <w:jc w:val="both"/>
      </w:pPr>
      <w:r>
        <w:t>Across 2015–2019, total stored water generally remained below combined usable capacity, with a notable drawdown through 2018–2019 before partial recovery late-2019. Storage variability is dominated by Thomson (largest usable volume), with Upper Yarra and Cardinia as secondary contributors. The widening storage-to-capacity gap during 2018–2019 is consistent with reduced catchment yield and/or increased net offtakes during a dry period.</w:t>
      </w:r>
    </w:p>
    <w:p w14:paraId="73C950F4" w14:textId="77777777" w:rsidR="00C33EF0" w:rsidRDefault="00C33EF0">
      <w:pPr>
        <w:pStyle w:val="BodyText"/>
      </w:pPr>
    </w:p>
    <w:p w14:paraId="0D33A6FE" w14:textId="77777777" w:rsidR="00C33EF0" w:rsidRDefault="00BA46F5">
      <w:pPr>
        <w:pStyle w:val="Heading2"/>
      </w:pPr>
      <w:bookmarkStart w:id="6" w:name="_Toc220775046"/>
      <w:r>
        <w:t>4.2 Rainfall and inflow time-series behaviour (2017)</w:t>
      </w:r>
      <w:bookmarkEnd w:id="6"/>
    </w:p>
    <w:p w14:paraId="119A059D" w14:textId="77777777" w:rsidR="00C33EF0" w:rsidRDefault="00BA46F5">
      <w:pPr>
        <w:pStyle w:val="BodyText"/>
        <w:keepNext/>
        <w:jc w:val="both"/>
      </w:pPr>
      <w:r>
        <w:t>To examine event timing and seasonal behaviour, Figure 2 presents 2017 daily catchment rainfall (bars) and reservoir inflow (line) using dual y-axes for each of the four catchments with complete rainfall and inflow records.</w:t>
      </w:r>
    </w:p>
    <w:p w14:paraId="5CD6195F" w14:textId="77777777" w:rsidR="00C33EF0" w:rsidRDefault="00BA46F5">
      <w:pPr>
        <w:keepNext/>
      </w:pPr>
      <w:r>
        <w:rPr>
          <w:noProof/>
        </w:rPr>
        <w:drawing>
          <wp:inline distT="0" distB="0" distL="0" distR="0" wp14:anchorId="765FBF34" wp14:editId="52372720">
            <wp:extent cx="5760000" cy="57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fall_inflow_2017_faceted.png"/>
                    <pic:cNvPicPr/>
                  </pic:nvPicPr>
                  <pic:blipFill>
                    <a:blip r:embed="rId9"/>
                    <a:stretch>
                      <a:fillRect/>
                    </a:stretch>
                  </pic:blipFill>
                  <pic:spPr>
                    <a:xfrm>
                      <a:off x="0" y="0"/>
                      <a:ext cx="5760000" cy="5760000"/>
                    </a:xfrm>
                    <a:prstGeom prst="rect">
                      <a:avLst/>
                    </a:prstGeom>
                  </pic:spPr>
                </pic:pic>
              </a:graphicData>
            </a:graphic>
          </wp:inline>
        </w:drawing>
      </w:r>
    </w:p>
    <w:p w14:paraId="1C983A57" w14:textId="794DB872" w:rsidR="00C33EF0" w:rsidRDefault="00BA46F5">
      <w:pPr>
        <w:pStyle w:val="Caption"/>
        <w:keepNext/>
      </w:pPr>
      <w:bookmarkStart w:id="7" w:name="_Toc220775054"/>
      <w:r>
        <w:t xml:space="preserve">Figure </w:t>
      </w:r>
      <w:r>
        <w:fldChar w:fldCharType="begin"/>
      </w:r>
      <w:r>
        <w:instrText>SEQ Figure \* ARABIC</w:instrText>
      </w:r>
      <w:r>
        <w:fldChar w:fldCharType="separate"/>
      </w:r>
      <w:r w:rsidR="00E37D1D">
        <w:rPr>
          <w:noProof/>
        </w:rPr>
        <w:t>2</w:t>
      </w:r>
      <w:r>
        <w:fldChar w:fldCharType="end"/>
      </w:r>
      <w:r>
        <w:t xml:space="preserve"> – 2017 rainfall (catchment) and inflow (streamflow) time series by reservoir (dual y-axis).</w:t>
      </w:r>
      <w:bookmarkEnd w:id="7"/>
    </w:p>
    <w:p w14:paraId="1702D381" w14:textId="77777777" w:rsidR="00C33EF0" w:rsidRDefault="00C33EF0">
      <w:pPr>
        <w:pStyle w:val="BodyText"/>
      </w:pPr>
    </w:p>
    <w:p w14:paraId="6278C2AB" w14:textId="77777777" w:rsidR="00C33EF0" w:rsidRDefault="00BA46F5">
      <w:pPr>
        <w:pStyle w:val="BodyText"/>
        <w:jc w:val="both"/>
      </w:pPr>
      <w:r>
        <w:t>All catchments show a pronounced wet-season response in late winter to spring (approximately August to October), where frequent rainfall events coincide with sustained elevated inflows. Inflow peaks generally lag rainfall bursts by about 1–3 days, with elevated inflow persisting for weeks during the wet period. This sustained response indicates that baseflow and stored catchment moisture are important controls, rather than a purely event-driven runoff mechanism.</w:t>
      </w:r>
    </w:p>
    <w:p w14:paraId="4DD10CE9" w14:textId="77777777" w:rsidR="00C33EF0" w:rsidRDefault="00C33EF0">
      <w:pPr>
        <w:pStyle w:val="BodyText"/>
      </w:pPr>
    </w:p>
    <w:p w14:paraId="67E92AF9" w14:textId="77777777" w:rsidR="00C33EF0" w:rsidRDefault="00BA46F5">
      <w:pPr>
        <w:pStyle w:val="Heading2"/>
      </w:pPr>
      <w:bookmarkStart w:id="8" w:name="_Toc220775047"/>
      <w:r>
        <w:t>4.3 Lagged rainfall–inflow correlation (0–14 days)</w:t>
      </w:r>
      <w:bookmarkEnd w:id="8"/>
    </w:p>
    <w:p w14:paraId="7722749C" w14:textId="77777777" w:rsidR="00C33EF0" w:rsidRDefault="00BA46F5">
      <w:pPr>
        <w:pStyle w:val="BodyText"/>
        <w:keepNext/>
        <w:jc w:val="both"/>
      </w:pPr>
      <w:r>
        <w:t>Figure 3 quantifies the rank-based association between daily rainfall and inflow for lags of 0–14 days, where rainfall leads inflow. Spearman correlation is used to reduce sensitivity to non-linearity and extreme events.</w:t>
      </w:r>
    </w:p>
    <w:p w14:paraId="7FE082EC" w14:textId="77777777" w:rsidR="00C33EF0" w:rsidRDefault="00BA46F5">
      <w:pPr>
        <w:keepNext/>
      </w:pPr>
      <w:r>
        <w:rPr>
          <w:noProof/>
        </w:rPr>
        <w:drawing>
          <wp:inline distT="0" distB="0" distL="0" distR="0" wp14:anchorId="28E4CC92" wp14:editId="6C88BDA0">
            <wp:extent cx="5760000" cy="345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gged_rainfall_inflow_correlation_redo.png"/>
                    <pic:cNvPicPr/>
                  </pic:nvPicPr>
                  <pic:blipFill>
                    <a:blip r:embed="rId10"/>
                    <a:stretch>
                      <a:fillRect/>
                    </a:stretch>
                  </pic:blipFill>
                  <pic:spPr>
                    <a:xfrm>
                      <a:off x="0" y="0"/>
                      <a:ext cx="5760000" cy="3456000"/>
                    </a:xfrm>
                    <a:prstGeom prst="rect">
                      <a:avLst/>
                    </a:prstGeom>
                  </pic:spPr>
                </pic:pic>
              </a:graphicData>
            </a:graphic>
          </wp:inline>
        </w:drawing>
      </w:r>
    </w:p>
    <w:p w14:paraId="630B9A7C" w14:textId="2FEBADDF" w:rsidR="00C33EF0" w:rsidRDefault="00BA46F5">
      <w:pPr>
        <w:pStyle w:val="Caption"/>
        <w:keepNext/>
      </w:pPr>
      <w:bookmarkStart w:id="9" w:name="_Toc220775055"/>
      <w:r>
        <w:t xml:space="preserve">Figure </w:t>
      </w:r>
      <w:r>
        <w:fldChar w:fldCharType="begin"/>
      </w:r>
      <w:r>
        <w:instrText>SEQ Figure \* ARABIC</w:instrText>
      </w:r>
      <w:r>
        <w:fldChar w:fldCharType="separate"/>
      </w:r>
      <w:r w:rsidR="00E37D1D">
        <w:rPr>
          <w:noProof/>
        </w:rPr>
        <w:t>3</w:t>
      </w:r>
      <w:r>
        <w:fldChar w:fldCharType="end"/>
      </w:r>
      <w:r>
        <w:t xml:space="preserve"> – Lagged Spearman correlation between rainfall and inflow (rainfall leading, 0–14 days).</w:t>
      </w:r>
      <w:bookmarkEnd w:id="9"/>
    </w:p>
    <w:p w14:paraId="4F325F89" w14:textId="77777777" w:rsidR="00C33EF0" w:rsidRDefault="00C33EF0">
      <w:pPr>
        <w:pStyle w:val="BodyText"/>
      </w:pPr>
    </w:p>
    <w:p w14:paraId="5A87F877" w14:textId="77777777" w:rsidR="00C33EF0" w:rsidRDefault="00BA46F5">
      <w:pPr>
        <w:pStyle w:val="BodyText"/>
        <w:jc w:val="both"/>
      </w:pPr>
      <w:r>
        <w:t>Raw daily rainfall exhibits only weak-to-moderate correlation with inflow, with peak correlations typically occurring at lag 0–1 days and decaying rapidly thereafter. This behaviour is consistent with the physics of catchment response: inflow reflects both immediate runoff and delayed contributions (soil drainage, groundwater/baseflow), while rainfall is intermittent and spatially heterogeneous. The limited predictive skill of single-day rainfall motivates a state-based index such as API that explicitly rep</w:t>
      </w:r>
      <w:r>
        <w:t>resents antecedent wetness.</w:t>
      </w:r>
    </w:p>
    <w:p w14:paraId="2D53C413" w14:textId="77777777" w:rsidR="00C33EF0" w:rsidRDefault="00C33EF0">
      <w:pPr>
        <w:pStyle w:val="BodyText"/>
      </w:pPr>
    </w:p>
    <w:p w14:paraId="0195D463" w14:textId="77777777" w:rsidR="00C33EF0" w:rsidRDefault="00BA46F5">
      <w:pPr>
        <w:pStyle w:val="Heading2"/>
      </w:pPr>
      <w:bookmarkStart w:id="10" w:name="_Toc220775048"/>
      <w:r>
        <w:t>4.4 API calibration (lag = 0 days, missing rainfall treated as 0)</w:t>
      </w:r>
      <w:bookmarkEnd w:id="10"/>
    </w:p>
    <w:p w14:paraId="6C019861" w14:textId="77777777" w:rsidR="00C33EF0" w:rsidRDefault="00BA46F5">
      <w:pPr>
        <w:pStyle w:val="BodyText"/>
        <w:keepNext/>
        <w:jc w:val="both"/>
      </w:pPr>
      <w:r>
        <w:t>An Antecedent Precipitation Index (API) was computed for each catchment using a simple exponential decay formulation, treating missing rainfall as zero. The decay factor k was calibrated over 0.85–0.98 (approximately 0.01 steps) to maximise the absolute Spearman correlation between same-day inflow and API.</w:t>
      </w:r>
    </w:p>
    <w:p w14:paraId="143FA6D8" w14:textId="77777777" w:rsidR="00C33EF0" w:rsidRDefault="00BA46F5">
      <w:pPr>
        <w:keepNext/>
      </w:pPr>
      <w:r>
        <w:rPr>
          <w:noProof/>
        </w:rPr>
        <w:drawing>
          <wp:inline distT="0" distB="0" distL="0" distR="0" wp14:anchorId="54DF92FE" wp14:editId="2016FB75">
            <wp:extent cx="5760000" cy="345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calibration_spearman.png"/>
                    <pic:cNvPicPr/>
                  </pic:nvPicPr>
                  <pic:blipFill>
                    <a:blip r:embed="rId11"/>
                    <a:stretch>
                      <a:fillRect/>
                    </a:stretch>
                  </pic:blipFill>
                  <pic:spPr>
                    <a:xfrm>
                      <a:off x="0" y="0"/>
                      <a:ext cx="5760000" cy="3456000"/>
                    </a:xfrm>
                    <a:prstGeom prst="rect">
                      <a:avLst/>
                    </a:prstGeom>
                  </pic:spPr>
                </pic:pic>
              </a:graphicData>
            </a:graphic>
          </wp:inline>
        </w:drawing>
      </w:r>
    </w:p>
    <w:p w14:paraId="68F0772C" w14:textId="2D49AB80" w:rsidR="00C33EF0" w:rsidRDefault="00BA46F5">
      <w:pPr>
        <w:pStyle w:val="Caption"/>
        <w:keepNext/>
      </w:pPr>
      <w:bookmarkStart w:id="11" w:name="_Toc220775056"/>
      <w:r>
        <w:t xml:space="preserve">Figure </w:t>
      </w:r>
      <w:r>
        <w:fldChar w:fldCharType="begin"/>
      </w:r>
      <w:r>
        <w:instrText>SEQ Figure \* ARABIC</w:instrText>
      </w:r>
      <w:r>
        <w:fldChar w:fldCharType="separate"/>
      </w:r>
      <w:r w:rsidR="00E37D1D">
        <w:rPr>
          <w:noProof/>
        </w:rPr>
        <w:t>4</w:t>
      </w:r>
      <w:r>
        <w:fldChar w:fldCharType="end"/>
      </w:r>
      <w:r>
        <w:t xml:space="preserve"> – API calibration: Spearman correlation versus API decay factor k (lag = 0 days).</w:t>
      </w:r>
      <w:bookmarkEnd w:id="11"/>
    </w:p>
    <w:p w14:paraId="6C18B07E" w14:textId="77777777" w:rsidR="00C33EF0" w:rsidRDefault="00C33EF0">
      <w:pPr>
        <w:pStyle w:val="BodyText"/>
      </w:pPr>
    </w:p>
    <w:p w14:paraId="0A37C5FE" w14:textId="77777777" w:rsidR="00C33EF0" w:rsidRDefault="00BA46F5">
      <w:pPr>
        <w:pStyle w:val="BodyText"/>
        <w:jc w:val="both"/>
      </w:pPr>
      <w:r>
        <w:t>Figure 4 shows that correlation generally increases as k approaches 0.97–0.98, indicating that inflow is better explained by an index with substantial persistence. In process terms, the catchments behave as systems with significant storage and delayed release, where antecedent wetness sets the efficiency of rainfall-to-runoff transformation.</w:t>
      </w:r>
    </w:p>
    <w:p w14:paraId="18B34A43" w14:textId="77777777" w:rsidR="00C33EF0" w:rsidRDefault="00C33EF0">
      <w:pPr>
        <w:pStyle w:val="BodyText"/>
      </w:pPr>
    </w:p>
    <w:p w14:paraId="3134AD87" w14:textId="77777777" w:rsidR="00C33EF0" w:rsidRDefault="00BA46F5">
      <w:pPr>
        <w:pStyle w:val="BodyText"/>
        <w:keepNext/>
        <w:jc w:val="both"/>
      </w:pPr>
      <w:r>
        <w:t>Table 1 summarises the optimal k, corresponding maximum correlation, and inferred characteristic catchment memory time.</w:t>
      </w:r>
    </w:p>
    <w:p w14:paraId="4CF1EEEE" w14:textId="2F580AA7" w:rsidR="00C33EF0" w:rsidRDefault="00BA46F5">
      <w:pPr>
        <w:pStyle w:val="Caption"/>
        <w:keepNext/>
      </w:pPr>
      <w:bookmarkStart w:id="12" w:name="_Toc220775059"/>
      <w:r>
        <w:t xml:space="preserve">Table </w:t>
      </w:r>
      <w:r>
        <w:fldChar w:fldCharType="begin"/>
      </w:r>
      <w:r>
        <w:instrText>SEQ Table \* ARABIC</w:instrText>
      </w:r>
      <w:r>
        <w:fldChar w:fldCharType="separate"/>
      </w:r>
      <w:r w:rsidR="00E37D1D">
        <w:rPr>
          <w:noProof/>
        </w:rPr>
        <w:t>1</w:t>
      </w:r>
      <w:r>
        <w:fldChar w:fldCharType="end"/>
      </w:r>
      <w:r>
        <w:t xml:space="preserve"> – API calibration summary (optimal k, same-day correlation, and memory time).</w:t>
      </w:r>
      <w:bookmarkEnd w:id="12"/>
    </w:p>
    <w:tbl>
      <w:tblPr>
        <w:tblStyle w:val="MediumShading1-Accent1"/>
        <w:tblW w:w="0" w:type="auto"/>
        <w:jc w:val="center"/>
        <w:tblLook w:val="04A0" w:firstRow="1" w:lastRow="0" w:firstColumn="1" w:lastColumn="0" w:noHBand="0" w:noVBand="1"/>
      </w:tblPr>
      <w:tblGrid>
        <w:gridCol w:w="1814"/>
        <w:gridCol w:w="1814"/>
        <w:gridCol w:w="1814"/>
        <w:gridCol w:w="1814"/>
        <w:gridCol w:w="1814"/>
      </w:tblGrid>
      <w:tr w:rsidR="00C33EF0" w14:paraId="2D93B5AF" w14:textId="77777777" w:rsidTr="00C33EF0">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14" w:type="dxa"/>
          </w:tcPr>
          <w:p w14:paraId="786806F6" w14:textId="77777777" w:rsidR="00C33EF0" w:rsidRDefault="00BA46F5">
            <w:r>
              <w:t>Reservoir</w:t>
            </w:r>
          </w:p>
        </w:tc>
        <w:tc>
          <w:tcPr>
            <w:tcW w:w="1814" w:type="dxa"/>
          </w:tcPr>
          <w:p w14:paraId="49DFF7CA" w14:textId="77777777" w:rsidR="00C33EF0" w:rsidRDefault="00BA46F5">
            <w:pPr>
              <w:cnfStyle w:val="100000000000" w:firstRow="1" w:lastRow="0" w:firstColumn="0" w:lastColumn="0" w:oddVBand="0" w:evenVBand="0" w:oddHBand="0" w:evenHBand="0" w:firstRowFirstColumn="0" w:firstRowLastColumn="0" w:lastRowFirstColumn="0" w:lastRowLastColumn="0"/>
            </w:pPr>
            <w:r>
              <w:t>Optimal k</w:t>
            </w:r>
          </w:p>
        </w:tc>
        <w:tc>
          <w:tcPr>
            <w:tcW w:w="1814" w:type="dxa"/>
          </w:tcPr>
          <w:p w14:paraId="3031D3EE" w14:textId="77777777" w:rsidR="00C33EF0" w:rsidRDefault="00BA46F5">
            <w:pPr>
              <w:cnfStyle w:val="100000000000" w:firstRow="1" w:lastRow="0" w:firstColumn="0" w:lastColumn="0" w:oddVBand="0" w:evenVBand="0" w:oddHBand="0" w:evenHBand="0" w:firstRowFirstColumn="0" w:firstRowLastColumn="0" w:lastRowFirstColumn="0" w:lastRowLastColumn="0"/>
            </w:pPr>
            <w:r>
              <w:t>Spearman ρ (lag 0)</w:t>
            </w:r>
          </w:p>
        </w:tc>
        <w:tc>
          <w:tcPr>
            <w:tcW w:w="1814" w:type="dxa"/>
          </w:tcPr>
          <w:p w14:paraId="029C193F" w14:textId="77777777" w:rsidR="00C33EF0" w:rsidRDefault="00BA46F5">
            <w:pPr>
              <w:cnfStyle w:val="100000000000" w:firstRow="1" w:lastRow="0" w:firstColumn="0" w:lastColumn="0" w:oddVBand="0" w:evenVBand="0" w:oddHBand="0" w:evenHBand="0" w:firstRowFirstColumn="0" w:firstRowLastColumn="0" w:lastRowFirstColumn="0" w:lastRowLastColumn="0"/>
            </w:pPr>
            <w:r>
              <w:t>Memory time (days)</w:t>
            </w:r>
          </w:p>
        </w:tc>
        <w:tc>
          <w:tcPr>
            <w:tcW w:w="1814" w:type="dxa"/>
          </w:tcPr>
          <w:p w14:paraId="398139D0" w14:textId="77777777" w:rsidR="00C33EF0" w:rsidRDefault="00BA46F5">
            <w:pPr>
              <w:cnfStyle w:val="100000000000" w:firstRow="1" w:lastRow="0" w:firstColumn="0" w:lastColumn="0" w:oddVBand="0" w:evenVBand="0" w:oddHBand="0" w:evenHBand="0" w:firstRowFirstColumn="0" w:firstRowLastColumn="0" w:lastRowFirstColumn="0" w:lastRowLastColumn="0"/>
            </w:pPr>
            <w:r>
              <w:t>n (pairs)</w:t>
            </w:r>
          </w:p>
        </w:tc>
      </w:tr>
      <w:tr w:rsidR="00C33EF0" w14:paraId="1ABDDEDA" w14:textId="77777777" w:rsidTr="00C33EF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14" w:type="dxa"/>
          </w:tcPr>
          <w:p w14:paraId="16ADD23E" w14:textId="77777777" w:rsidR="00C33EF0" w:rsidRDefault="00BA46F5">
            <w:r>
              <w:t>Maroondah</w:t>
            </w:r>
          </w:p>
        </w:tc>
        <w:tc>
          <w:tcPr>
            <w:tcW w:w="1814" w:type="dxa"/>
          </w:tcPr>
          <w:p w14:paraId="25675BEF" w14:textId="77777777" w:rsidR="00C33EF0" w:rsidRDefault="00BA46F5">
            <w:pPr>
              <w:cnfStyle w:val="000000100000" w:firstRow="0" w:lastRow="0" w:firstColumn="0" w:lastColumn="0" w:oddVBand="0" w:evenVBand="0" w:oddHBand="1" w:evenHBand="0" w:firstRowFirstColumn="0" w:firstRowLastColumn="0" w:lastRowFirstColumn="0" w:lastRowLastColumn="0"/>
            </w:pPr>
            <w:r>
              <w:t>0.97</w:t>
            </w:r>
          </w:p>
        </w:tc>
        <w:tc>
          <w:tcPr>
            <w:tcW w:w="1814" w:type="dxa"/>
          </w:tcPr>
          <w:p w14:paraId="093E9746" w14:textId="77777777" w:rsidR="00C33EF0" w:rsidRDefault="00BA46F5">
            <w:pPr>
              <w:cnfStyle w:val="000000100000" w:firstRow="0" w:lastRow="0" w:firstColumn="0" w:lastColumn="0" w:oddVBand="0" w:evenVBand="0" w:oddHBand="1" w:evenHBand="0" w:firstRowFirstColumn="0" w:firstRowLastColumn="0" w:lastRowFirstColumn="0" w:lastRowLastColumn="0"/>
            </w:pPr>
            <w:r>
              <w:t>0.717</w:t>
            </w:r>
          </w:p>
        </w:tc>
        <w:tc>
          <w:tcPr>
            <w:tcW w:w="1814" w:type="dxa"/>
          </w:tcPr>
          <w:p w14:paraId="413E1BCA" w14:textId="77777777" w:rsidR="00C33EF0" w:rsidRDefault="00BA46F5">
            <w:pPr>
              <w:cnfStyle w:val="000000100000" w:firstRow="0" w:lastRow="0" w:firstColumn="0" w:lastColumn="0" w:oddVBand="0" w:evenVBand="0" w:oddHBand="1" w:evenHBand="0" w:firstRowFirstColumn="0" w:firstRowLastColumn="0" w:lastRowFirstColumn="0" w:lastRowLastColumn="0"/>
            </w:pPr>
            <w:r>
              <w:t>32.8</w:t>
            </w:r>
          </w:p>
        </w:tc>
        <w:tc>
          <w:tcPr>
            <w:tcW w:w="1814" w:type="dxa"/>
          </w:tcPr>
          <w:p w14:paraId="06BCF98A" w14:textId="77777777" w:rsidR="00C33EF0" w:rsidRDefault="00BA46F5">
            <w:pPr>
              <w:cnfStyle w:val="000000100000" w:firstRow="0" w:lastRow="0" w:firstColumn="0" w:lastColumn="0" w:oddVBand="0" w:evenVBand="0" w:oddHBand="1" w:evenHBand="0" w:firstRowFirstColumn="0" w:firstRowLastColumn="0" w:lastRowFirstColumn="0" w:lastRowLastColumn="0"/>
            </w:pPr>
            <w:r>
              <w:t>1,826</w:t>
            </w:r>
          </w:p>
        </w:tc>
      </w:tr>
      <w:tr w:rsidR="00C33EF0" w14:paraId="57EC3C9F" w14:textId="77777777" w:rsidTr="00C33EF0">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14" w:type="dxa"/>
          </w:tcPr>
          <w:p w14:paraId="011B221F" w14:textId="77777777" w:rsidR="00C33EF0" w:rsidRDefault="00BA46F5">
            <w:r>
              <w:t>O'Shannassy</w:t>
            </w:r>
          </w:p>
        </w:tc>
        <w:tc>
          <w:tcPr>
            <w:tcW w:w="1814" w:type="dxa"/>
          </w:tcPr>
          <w:p w14:paraId="08F8B956" w14:textId="77777777" w:rsidR="00C33EF0" w:rsidRDefault="00BA46F5">
            <w:pPr>
              <w:cnfStyle w:val="000000010000" w:firstRow="0" w:lastRow="0" w:firstColumn="0" w:lastColumn="0" w:oddVBand="0" w:evenVBand="0" w:oddHBand="0" w:evenHBand="1" w:firstRowFirstColumn="0" w:firstRowLastColumn="0" w:lastRowFirstColumn="0" w:lastRowLastColumn="0"/>
            </w:pPr>
            <w:r>
              <w:t>0.98</w:t>
            </w:r>
          </w:p>
        </w:tc>
        <w:tc>
          <w:tcPr>
            <w:tcW w:w="1814" w:type="dxa"/>
          </w:tcPr>
          <w:p w14:paraId="48EAC2F4" w14:textId="77777777" w:rsidR="00C33EF0" w:rsidRDefault="00BA46F5">
            <w:pPr>
              <w:cnfStyle w:val="000000010000" w:firstRow="0" w:lastRow="0" w:firstColumn="0" w:lastColumn="0" w:oddVBand="0" w:evenVBand="0" w:oddHBand="0" w:evenHBand="1" w:firstRowFirstColumn="0" w:firstRowLastColumn="0" w:lastRowFirstColumn="0" w:lastRowLastColumn="0"/>
            </w:pPr>
            <w:r>
              <w:t>0.876</w:t>
            </w:r>
          </w:p>
        </w:tc>
        <w:tc>
          <w:tcPr>
            <w:tcW w:w="1814" w:type="dxa"/>
          </w:tcPr>
          <w:p w14:paraId="7145DE25" w14:textId="77777777" w:rsidR="00C33EF0" w:rsidRDefault="00BA46F5">
            <w:pPr>
              <w:cnfStyle w:val="000000010000" w:firstRow="0" w:lastRow="0" w:firstColumn="0" w:lastColumn="0" w:oddVBand="0" w:evenVBand="0" w:oddHBand="0" w:evenHBand="1" w:firstRowFirstColumn="0" w:firstRowLastColumn="0" w:lastRowFirstColumn="0" w:lastRowLastColumn="0"/>
            </w:pPr>
            <w:r>
              <w:t>49.5</w:t>
            </w:r>
          </w:p>
        </w:tc>
        <w:tc>
          <w:tcPr>
            <w:tcW w:w="1814" w:type="dxa"/>
          </w:tcPr>
          <w:p w14:paraId="20682F53" w14:textId="77777777" w:rsidR="00C33EF0" w:rsidRDefault="00BA46F5">
            <w:pPr>
              <w:cnfStyle w:val="000000010000" w:firstRow="0" w:lastRow="0" w:firstColumn="0" w:lastColumn="0" w:oddVBand="0" w:evenVBand="0" w:oddHBand="0" w:evenHBand="1" w:firstRowFirstColumn="0" w:firstRowLastColumn="0" w:lastRowFirstColumn="0" w:lastRowLastColumn="0"/>
            </w:pPr>
            <w:r>
              <w:t>1,826</w:t>
            </w:r>
          </w:p>
        </w:tc>
      </w:tr>
      <w:tr w:rsidR="00C33EF0" w14:paraId="52683A53" w14:textId="77777777" w:rsidTr="00C33EF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14" w:type="dxa"/>
          </w:tcPr>
          <w:p w14:paraId="1CDE85D1" w14:textId="77777777" w:rsidR="00C33EF0" w:rsidRDefault="00BA46F5">
            <w:r>
              <w:t>Thomson</w:t>
            </w:r>
          </w:p>
        </w:tc>
        <w:tc>
          <w:tcPr>
            <w:tcW w:w="1814" w:type="dxa"/>
          </w:tcPr>
          <w:p w14:paraId="1FC0658A" w14:textId="77777777" w:rsidR="00C33EF0" w:rsidRDefault="00BA46F5">
            <w:pPr>
              <w:cnfStyle w:val="000000100000" w:firstRow="0" w:lastRow="0" w:firstColumn="0" w:lastColumn="0" w:oddVBand="0" w:evenVBand="0" w:oddHBand="1" w:evenHBand="0" w:firstRowFirstColumn="0" w:firstRowLastColumn="0" w:lastRowFirstColumn="0" w:lastRowLastColumn="0"/>
            </w:pPr>
            <w:r>
              <w:t>0.97</w:t>
            </w:r>
          </w:p>
        </w:tc>
        <w:tc>
          <w:tcPr>
            <w:tcW w:w="1814" w:type="dxa"/>
          </w:tcPr>
          <w:p w14:paraId="330424F8" w14:textId="77777777" w:rsidR="00C33EF0" w:rsidRDefault="00BA46F5">
            <w:pPr>
              <w:cnfStyle w:val="000000100000" w:firstRow="0" w:lastRow="0" w:firstColumn="0" w:lastColumn="0" w:oddVBand="0" w:evenVBand="0" w:oddHBand="1" w:evenHBand="0" w:firstRowFirstColumn="0" w:firstRowLastColumn="0" w:lastRowFirstColumn="0" w:lastRowLastColumn="0"/>
            </w:pPr>
            <w:r>
              <w:t>0.795</w:t>
            </w:r>
          </w:p>
        </w:tc>
        <w:tc>
          <w:tcPr>
            <w:tcW w:w="1814" w:type="dxa"/>
          </w:tcPr>
          <w:p w14:paraId="410AFCA9" w14:textId="77777777" w:rsidR="00C33EF0" w:rsidRDefault="00BA46F5">
            <w:pPr>
              <w:cnfStyle w:val="000000100000" w:firstRow="0" w:lastRow="0" w:firstColumn="0" w:lastColumn="0" w:oddVBand="0" w:evenVBand="0" w:oddHBand="1" w:evenHBand="0" w:firstRowFirstColumn="0" w:firstRowLastColumn="0" w:lastRowFirstColumn="0" w:lastRowLastColumn="0"/>
            </w:pPr>
            <w:r>
              <w:t>32.8</w:t>
            </w:r>
          </w:p>
        </w:tc>
        <w:tc>
          <w:tcPr>
            <w:tcW w:w="1814" w:type="dxa"/>
          </w:tcPr>
          <w:p w14:paraId="5D8BAC92" w14:textId="77777777" w:rsidR="00C33EF0" w:rsidRDefault="00BA46F5">
            <w:pPr>
              <w:cnfStyle w:val="000000100000" w:firstRow="0" w:lastRow="0" w:firstColumn="0" w:lastColumn="0" w:oddVBand="0" w:evenVBand="0" w:oddHBand="1" w:evenHBand="0" w:firstRowFirstColumn="0" w:firstRowLastColumn="0" w:lastRowFirstColumn="0" w:lastRowLastColumn="0"/>
            </w:pPr>
            <w:r>
              <w:t>1,826</w:t>
            </w:r>
          </w:p>
        </w:tc>
      </w:tr>
      <w:tr w:rsidR="00C33EF0" w14:paraId="5136BB53" w14:textId="77777777" w:rsidTr="00C33EF0">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14" w:type="dxa"/>
          </w:tcPr>
          <w:p w14:paraId="03926177" w14:textId="77777777" w:rsidR="00C33EF0" w:rsidRDefault="00BA46F5">
            <w:r>
              <w:t>Upper Yarra</w:t>
            </w:r>
          </w:p>
        </w:tc>
        <w:tc>
          <w:tcPr>
            <w:tcW w:w="1814" w:type="dxa"/>
          </w:tcPr>
          <w:p w14:paraId="21B1C782" w14:textId="77777777" w:rsidR="00C33EF0" w:rsidRDefault="00BA46F5">
            <w:pPr>
              <w:cnfStyle w:val="000000010000" w:firstRow="0" w:lastRow="0" w:firstColumn="0" w:lastColumn="0" w:oddVBand="0" w:evenVBand="0" w:oddHBand="0" w:evenHBand="1" w:firstRowFirstColumn="0" w:firstRowLastColumn="0" w:lastRowFirstColumn="0" w:lastRowLastColumn="0"/>
            </w:pPr>
            <w:r>
              <w:t>0.98</w:t>
            </w:r>
          </w:p>
        </w:tc>
        <w:tc>
          <w:tcPr>
            <w:tcW w:w="1814" w:type="dxa"/>
          </w:tcPr>
          <w:p w14:paraId="3C3F7F53" w14:textId="77777777" w:rsidR="00C33EF0" w:rsidRDefault="00BA46F5">
            <w:pPr>
              <w:cnfStyle w:val="000000010000" w:firstRow="0" w:lastRow="0" w:firstColumn="0" w:lastColumn="0" w:oddVBand="0" w:evenVBand="0" w:oddHBand="0" w:evenHBand="1" w:firstRowFirstColumn="0" w:firstRowLastColumn="0" w:lastRowFirstColumn="0" w:lastRowLastColumn="0"/>
            </w:pPr>
            <w:r>
              <w:t>0.840</w:t>
            </w:r>
          </w:p>
        </w:tc>
        <w:tc>
          <w:tcPr>
            <w:tcW w:w="1814" w:type="dxa"/>
          </w:tcPr>
          <w:p w14:paraId="6B04565C" w14:textId="77777777" w:rsidR="00C33EF0" w:rsidRDefault="00BA46F5">
            <w:pPr>
              <w:cnfStyle w:val="000000010000" w:firstRow="0" w:lastRow="0" w:firstColumn="0" w:lastColumn="0" w:oddVBand="0" w:evenVBand="0" w:oddHBand="0" w:evenHBand="1" w:firstRowFirstColumn="0" w:firstRowLastColumn="0" w:lastRowFirstColumn="0" w:lastRowLastColumn="0"/>
            </w:pPr>
            <w:r>
              <w:t>49.5</w:t>
            </w:r>
          </w:p>
        </w:tc>
        <w:tc>
          <w:tcPr>
            <w:tcW w:w="1814" w:type="dxa"/>
          </w:tcPr>
          <w:p w14:paraId="20720501" w14:textId="77777777" w:rsidR="00C33EF0" w:rsidRDefault="00BA46F5">
            <w:pPr>
              <w:cnfStyle w:val="000000010000" w:firstRow="0" w:lastRow="0" w:firstColumn="0" w:lastColumn="0" w:oddVBand="0" w:evenVBand="0" w:oddHBand="0" w:evenHBand="1" w:firstRowFirstColumn="0" w:firstRowLastColumn="0" w:lastRowFirstColumn="0" w:lastRowLastColumn="0"/>
            </w:pPr>
            <w:r>
              <w:t>1,826</w:t>
            </w:r>
          </w:p>
        </w:tc>
      </w:tr>
    </w:tbl>
    <w:p w14:paraId="3BBD2F54" w14:textId="77777777" w:rsidR="00C33EF0" w:rsidRDefault="00C33EF0"/>
    <w:p w14:paraId="63CD6AA0" w14:textId="77777777" w:rsidR="00C33EF0" w:rsidRDefault="00BA46F5">
      <w:pPr>
        <w:pStyle w:val="BodyText"/>
        <w:jc w:val="both"/>
      </w:pPr>
      <w:r>
        <w:t>The calibrated k values are high (approximately 0.97–0.98), corresponding to characteristic memory times on the order of one to two months. O’Shannassy and Upper Yarra show the longest memory and strongest correlations, consistent with smoother hydrographs and a larger contribution from subsurface storage and baseflow. Maroondah exhibits the lowest peak correlation and shorter memory, indicating a relatively larger share of short-lived variability not captured by a single-parameter API model.</w:t>
      </w:r>
    </w:p>
    <w:p w14:paraId="5A807668" w14:textId="77777777" w:rsidR="00C33EF0" w:rsidRDefault="00C33EF0">
      <w:pPr>
        <w:pStyle w:val="BodyText"/>
      </w:pPr>
    </w:p>
    <w:p w14:paraId="0D4B5E68" w14:textId="77777777" w:rsidR="00C33EF0" w:rsidRDefault="00BA46F5">
      <w:pPr>
        <w:pStyle w:val="Heading2"/>
      </w:pPr>
      <w:bookmarkStart w:id="13" w:name="_Toc220775049"/>
      <w:r>
        <w:t>4.5 API lead-time analysis (0–14 days) using optimal k</w:t>
      </w:r>
      <w:bookmarkEnd w:id="13"/>
    </w:p>
    <w:p w14:paraId="1F718178" w14:textId="77777777" w:rsidR="00C33EF0" w:rsidRDefault="00BA46F5">
      <w:pPr>
        <w:pStyle w:val="BodyText"/>
        <w:keepNext/>
        <w:jc w:val="both"/>
      </w:pPr>
      <w:r>
        <w:t>Using the calibrated decay factors, Figure 5 evaluates how correlation changes when API is used to predict inflow at lead times of 0–14 days. This provides a practical indication of near-term forecast skill attributable to catchment wetness state.</w:t>
      </w:r>
    </w:p>
    <w:p w14:paraId="60808938" w14:textId="77777777" w:rsidR="00C33EF0" w:rsidRDefault="00BA46F5">
      <w:pPr>
        <w:keepNext/>
      </w:pPr>
      <w:r>
        <w:rPr>
          <w:noProof/>
        </w:rPr>
        <w:drawing>
          <wp:inline distT="0" distB="0" distL="0" distR="0" wp14:anchorId="2CB98189" wp14:editId="63AB29ED">
            <wp:extent cx="5760000" cy="345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lag_analysis.png"/>
                    <pic:cNvPicPr/>
                  </pic:nvPicPr>
                  <pic:blipFill>
                    <a:blip r:embed="rId12"/>
                    <a:stretch>
                      <a:fillRect/>
                    </a:stretch>
                  </pic:blipFill>
                  <pic:spPr>
                    <a:xfrm>
                      <a:off x="0" y="0"/>
                      <a:ext cx="5760000" cy="3456000"/>
                    </a:xfrm>
                    <a:prstGeom prst="rect">
                      <a:avLst/>
                    </a:prstGeom>
                  </pic:spPr>
                </pic:pic>
              </a:graphicData>
            </a:graphic>
          </wp:inline>
        </w:drawing>
      </w:r>
    </w:p>
    <w:p w14:paraId="3E1D2520" w14:textId="774D2FB3" w:rsidR="00C33EF0" w:rsidRDefault="00BA46F5">
      <w:pPr>
        <w:pStyle w:val="Caption"/>
        <w:keepNext/>
      </w:pPr>
      <w:bookmarkStart w:id="14" w:name="_Toc220775057"/>
      <w:r>
        <w:t xml:space="preserve">Figure </w:t>
      </w:r>
      <w:r>
        <w:fldChar w:fldCharType="begin"/>
      </w:r>
      <w:r>
        <w:instrText>SEQ Figure \* ARABIC</w:instrText>
      </w:r>
      <w:r>
        <w:fldChar w:fldCharType="separate"/>
      </w:r>
      <w:r w:rsidR="00E37D1D">
        <w:rPr>
          <w:noProof/>
        </w:rPr>
        <w:t>5</w:t>
      </w:r>
      <w:r>
        <w:fldChar w:fldCharType="end"/>
      </w:r>
      <w:r>
        <w:t xml:space="preserve"> – API lead-time analysis: Spearman ρ versus lead time (0–14 days) at optimal k.</w:t>
      </w:r>
      <w:bookmarkEnd w:id="14"/>
    </w:p>
    <w:p w14:paraId="7F261928" w14:textId="77777777" w:rsidR="00C33EF0" w:rsidRDefault="00C33EF0">
      <w:pPr>
        <w:pStyle w:val="BodyText"/>
      </w:pPr>
    </w:p>
    <w:p w14:paraId="73A0203E" w14:textId="77777777" w:rsidR="00C33EF0" w:rsidRDefault="00BA46F5">
      <w:pPr>
        <w:pStyle w:val="BodyText"/>
        <w:jc w:val="both"/>
      </w:pPr>
      <w:r>
        <w:t>Compared with Figure 3, API-based correlations are substantially higher and decay more gradually with lead time. This indicates that catchment wetness is a strong predictor of inflow persistence. In operational terms, a well-calibrated wetness index can support short-term yield outlooks and risk-based decision-making (e.g., supply planning and contingency triggers) even when event rainfall forecasts are uncertain.</w:t>
      </w:r>
    </w:p>
    <w:p w14:paraId="6101EF85" w14:textId="77777777" w:rsidR="00C33EF0" w:rsidRDefault="00C33EF0">
      <w:pPr>
        <w:pStyle w:val="BodyText"/>
      </w:pPr>
    </w:p>
    <w:p w14:paraId="224EAB0B" w14:textId="77777777" w:rsidR="00C33EF0" w:rsidRDefault="00BA46F5">
      <w:r>
        <w:br w:type="page"/>
      </w:r>
    </w:p>
    <w:p w14:paraId="3F0483C9" w14:textId="77777777" w:rsidR="00C33EF0" w:rsidRDefault="00BA46F5">
      <w:pPr>
        <w:pStyle w:val="BodyText"/>
        <w:keepNext/>
        <w:jc w:val="both"/>
      </w:pPr>
      <w:r>
        <w:t>Table 2 summarises key API lead-time performance metrics at the calibrated k values.</w:t>
      </w:r>
    </w:p>
    <w:p w14:paraId="2B40981A" w14:textId="36F23343" w:rsidR="00C33EF0" w:rsidRDefault="00BA46F5">
      <w:pPr>
        <w:pStyle w:val="Caption"/>
        <w:keepNext/>
      </w:pPr>
      <w:bookmarkStart w:id="15" w:name="_Toc220775060"/>
      <w:r>
        <w:t xml:space="preserve">Table </w:t>
      </w:r>
      <w:r>
        <w:fldChar w:fldCharType="begin"/>
      </w:r>
      <w:r>
        <w:instrText>SEQ Table \* ARABIC</w:instrText>
      </w:r>
      <w:r>
        <w:fldChar w:fldCharType="separate"/>
      </w:r>
      <w:r w:rsidR="00E37D1D">
        <w:rPr>
          <w:noProof/>
        </w:rPr>
        <w:t>2</w:t>
      </w:r>
      <w:r>
        <w:fldChar w:fldCharType="end"/>
      </w:r>
      <w:r>
        <w:t xml:space="preserve"> – API lead-time analysis summary at optimal k (selected performance metrics).</w:t>
      </w:r>
      <w:bookmarkEnd w:id="15"/>
    </w:p>
    <w:tbl>
      <w:tblPr>
        <w:tblStyle w:val="MediumShading1-Accent1"/>
        <w:tblW w:w="0" w:type="auto"/>
        <w:jc w:val="center"/>
        <w:tblLook w:val="04A0" w:firstRow="1" w:lastRow="0" w:firstColumn="1" w:lastColumn="0" w:noHBand="0" w:noVBand="1"/>
      </w:tblPr>
      <w:tblGrid>
        <w:gridCol w:w="1814"/>
        <w:gridCol w:w="1814"/>
        <w:gridCol w:w="1814"/>
        <w:gridCol w:w="1814"/>
        <w:gridCol w:w="1814"/>
      </w:tblGrid>
      <w:tr w:rsidR="00C33EF0" w14:paraId="26CA1960" w14:textId="77777777" w:rsidTr="00C33EF0">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14" w:type="dxa"/>
          </w:tcPr>
          <w:p w14:paraId="6817EE5E" w14:textId="77777777" w:rsidR="00C33EF0" w:rsidRDefault="00BA46F5">
            <w:r>
              <w:t>Reservoir</w:t>
            </w:r>
          </w:p>
        </w:tc>
        <w:tc>
          <w:tcPr>
            <w:tcW w:w="1814" w:type="dxa"/>
          </w:tcPr>
          <w:p w14:paraId="79206C94" w14:textId="77777777" w:rsidR="00C33EF0" w:rsidRDefault="00BA46F5">
            <w:pPr>
              <w:cnfStyle w:val="100000000000" w:firstRow="1" w:lastRow="0" w:firstColumn="0" w:lastColumn="0" w:oddVBand="0" w:evenVBand="0" w:oddHBand="0" w:evenHBand="0" w:firstRowFirstColumn="0" w:firstRowLastColumn="0" w:lastRowFirstColumn="0" w:lastRowLastColumn="0"/>
            </w:pPr>
            <w:r>
              <w:t>Optimal k</w:t>
            </w:r>
          </w:p>
        </w:tc>
        <w:tc>
          <w:tcPr>
            <w:tcW w:w="1814" w:type="dxa"/>
          </w:tcPr>
          <w:p w14:paraId="6BF26133" w14:textId="77777777" w:rsidR="00C33EF0" w:rsidRDefault="00BA46F5">
            <w:pPr>
              <w:cnfStyle w:val="100000000000" w:firstRow="1" w:lastRow="0" w:firstColumn="0" w:lastColumn="0" w:oddVBand="0" w:evenVBand="0" w:oddHBand="0" w:evenHBand="0" w:firstRowFirstColumn="0" w:firstRowLastColumn="0" w:lastRowFirstColumn="0" w:lastRowLastColumn="0"/>
            </w:pPr>
            <w:r>
              <w:t>ρ (lag 0)</w:t>
            </w:r>
          </w:p>
        </w:tc>
        <w:tc>
          <w:tcPr>
            <w:tcW w:w="1814" w:type="dxa"/>
          </w:tcPr>
          <w:p w14:paraId="4C87D00C" w14:textId="77777777" w:rsidR="00C33EF0" w:rsidRDefault="00BA46F5">
            <w:pPr>
              <w:cnfStyle w:val="100000000000" w:firstRow="1" w:lastRow="0" w:firstColumn="0" w:lastColumn="0" w:oddVBand="0" w:evenVBand="0" w:oddHBand="0" w:evenHBand="0" w:firstRowFirstColumn="0" w:firstRowLastColumn="0" w:lastRowFirstColumn="0" w:lastRowLastColumn="0"/>
            </w:pPr>
            <w:r>
              <w:t>ρ (lag 14)</w:t>
            </w:r>
          </w:p>
        </w:tc>
        <w:tc>
          <w:tcPr>
            <w:tcW w:w="1814" w:type="dxa"/>
          </w:tcPr>
          <w:p w14:paraId="11453334" w14:textId="77777777" w:rsidR="00C33EF0" w:rsidRDefault="00BA46F5">
            <w:pPr>
              <w:cnfStyle w:val="100000000000" w:firstRow="1" w:lastRow="0" w:firstColumn="0" w:lastColumn="0" w:oddVBand="0" w:evenVBand="0" w:oddHBand="0" w:evenHBand="0" w:firstRowFirstColumn="0" w:firstRowLastColumn="0" w:lastRowFirstColumn="0" w:lastRowLastColumn="0"/>
            </w:pPr>
            <w:r>
              <w:t>Horizon at ρ ≥ 0.75 (days)</w:t>
            </w:r>
          </w:p>
        </w:tc>
      </w:tr>
      <w:tr w:rsidR="00C33EF0" w14:paraId="2A6457AB" w14:textId="77777777" w:rsidTr="00C33EF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14" w:type="dxa"/>
          </w:tcPr>
          <w:p w14:paraId="323C364B" w14:textId="77777777" w:rsidR="00C33EF0" w:rsidRDefault="00BA46F5">
            <w:r>
              <w:t>Maroondah</w:t>
            </w:r>
          </w:p>
        </w:tc>
        <w:tc>
          <w:tcPr>
            <w:tcW w:w="1814" w:type="dxa"/>
          </w:tcPr>
          <w:p w14:paraId="4AFB9A7C" w14:textId="77777777" w:rsidR="00C33EF0" w:rsidRDefault="00BA46F5">
            <w:pPr>
              <w:cnfStyle w:val="000000100000" w:firstRow="0" w:lastRow="0" w:firstColumn="0" w:lastColumn="0" w:oddVBand="0" w:evenVBand="0" w:oddHBand="1" w:evenHBand="0" w:firstRowFirstColumn="0" w:firstRowLastColumn="0" w:lastRowFirstColumn="0" w:lastRowLastColumn="0"/>
            </w:pPr>
            <w:r>
              <w:t>0.97</w:t>
            </w:r>
          </w:p>
        </w:tc>
        <w:tc>
          <w:tcPr>
            <w:tcW w:w="1814" w:type="dxa"/>
          </w:tcPr>
          <w:p w14:paraId="31626C93" w14:textId="77777777" w:rsidR="00C33EF0" w:rsidRDefault="00BA46F5">
            <w:pPr>
              <w:cnfStyle w:val="000000100000" w:firstRow="0" w:lastRow="0" w:firstColumn="0" w:lastColumn="0" w:oddVBand="0" w:evenVBand="0" w:oddHBand="1" w:evenHBand="0" w:firstRowFirstColumn="0" w:firstRowLastColumn="0" w:lastRowFirstColumn="0" w:lastRowLastColumn="0"/>
            </w:pPr>
            <w:r>
              <w:t>0.717</w:t>
            </w:r>
          </w:p>
        </w:tc>
        <w:tc>
          <w:tcPr>
            <w:tcW w:w="1814" w:type="dxa"/>
          </w:tcPr>
          <w:p w14:paraId="27EC21F7" w14:textId="77777777" w:rsidR="00C33EF0" w:rsidRDefault="00BA46F5">
            <w:pPr>
              <w:cnfStyle w:val="000000100000" w:firstRow="0" w:lastRow="0" w:firstColumn="0" w:lastColumn="0" w:oddVBand="0" w:evenVBand="0" w:oddHBand="1" w:evenHBand="0" w:firstRowFirstColumn="0" w:firstRowLastColumn="0" w:lastRowFirstColumn="0" w:lastRowLastColumn="0"/>
            </w:pPr>
            <w:r>
              <w:t>0.522</w:t>
            </w:r>
          </w:p>
        </w:tc>
        <w:tc>
          <w:tcPr>
            <w:tcW w:w="1814" w:type="dxa"/>
          </w:tcPr>
          <w:p w14:paraId="28DFBD0D" w14:textId="77777777" w:rsidR="00C33EF0" w:rsidRDefault="00C33EF0">
            <w:pPr>
              <w:cnfStyle w:val="000000100000" w:firstRow="0" w:lastRow="0" w:firstColumn="0" w:lastColumn="0" w:oddVBand="0" w:evenVBand="0" w:oddHBand="1" w:evenHBand="0" w:firstRowFirstColumn="0" w:firstRowLastColumn="0" w:lastRowFirstColumn="0" w:lastRowLastColumn="0"/>
            </w:pPr>
          </w:p>
        </w:tc>
      </w:tr>
      <w:tr w:rsidR="00C33EF0" w14:paraId="5BE66F92" w14:textId="77777777" w:rsidTr="00C33EF0">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14" w:type="dxa"/>
          </w:tcPr>
          <w:p w14:paraId="6683FA95" w14:textId="77777777" w:rsidR="00C33EF0" w:rsidRDefault="00BA46F5">
            <w:r>
              <w:t>O'Shannassy</w:t>
            </w:r>
          </w:p>
        </w:tc>
        <w:tc>
          <w:tcPr>
            <w:tcW w:w="1814" w:type="dxa"/>
          </w:tcPr>
          <w:p w14:paraId="7031208F" w14:textId="77777777" w:rsidR="00C33EF0" w:rsidRDefault="00BA46F5">
            <w:pPr>
              <w:cnfStyle w:val="000000010000" w:firstRow="0" w:lastRow="0" w:firstColumn="0" w:lastColumn="0" w:oddVBand="0" w:evenVBand="0" w:oddHBand="0" w:evenHBand="1" w:firstRowFirstColumn="0" w:firstRowLastColumn="0" w:lastRowFirstColumn="0" w:lastRowLastColumn="0"/>
            </w:pPr>
            <w:r>
              <w:t>0.98</w:t>
            </w:r>
          </w:p>
        </w:tc>
        <w:tc>
          <w:tcPr>
            <w:tcW w:w="1814" w:type="dxa"/>
          </w:tcPr>
          <w:p w14:paraId="27BB0683" w14:textId="77777777" w:rsidR="00C33EF0" w:rsidRDefault="00BA46F5">
            <w:pPr>
              <w:cnfStyle w:val="000000010000" w:firstRow="0" w:lastRow="0" w:firstColumn="0" w:lastColumn="0" w:oddVBand="0" w:evenVBand="0" w:oddHBand="0" w:evenHBand="1" w:firstRowFirstColumn="0" w:firstRowLastColumn="0" w:lastRowFirstColumn="0" w:lastRowLastColumn="0"/>
            </w:pPr>
            <w:r>
              <w:t>0.876</w:t>
            </w:r>
          </w:p>
        </w:tc>
        <w:tc>
          <w:tcPr>
            <w:tcW w:w="1814" w:type="dxa"/>
          </w:tcPr>
          <w:p w14:paraId="4CF58D1B" w14:textId="77777777" w:rsidR="00C33EF0" w:rsidRDefault="00BA46F5">
            <w:pPr>
              <w:cnfStyle w:val="000000010000" w:firstRow="0" w:lastRow="0" w:firstColumn="0" w:lastColumn="0" w:oddVBand="0" w:evenVBand="0" w:oddHBand="0" w:evenHBand="1" w:firstRowFirstColumn="0" w:firstRowLastColumn="0" w:lastRowFirstColumn="0" w:lastRowLastColumn="0"/>
            </w:pPr>
            <w:r>
              <w:t>0.763</w:t>
            </w:r>
          </w:p>
        </w:tc>
        <w:tc>
          <w:tcPr>
            <w:tcW w:w="1814" w:type="dxa"/>
          </w:tcPr>
          <w:p w14:paraId="03332386" w14:textId="77777777" w:rsidR="00C33EF0" w:rsidRDefault="00BA46F5">
            <w:pPr>
              <w:cnfStyle w:val="000000010000" w:firstRow="0" w:lastRow="0" w:firstColumn="0" w:lastColumn="0" w:oddVBand="0" w:evenVBand="0" w:oddHBand="0" w:evenHBand="1" w:firstRowFirstColumn="0" w:firstRowLastColumn="0" w:lastRowFirstColumn="0" w:lastRowLastColumn="0"/>
            </w:pPr>
            <w:r>
              <w:t>14</w:t>
            </w:r>
          </w:p>
        </w:tc>
      </w:tr>
      <w:tr w:rsidR="00C33EF0" w14:paraId="4E741961" w14:textId="77777777" w:rsidTr="00C33EF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14" w:type="dxa"/>
          </w:tcPr>
          <w:p w14:paraId="32530E1B" w14:textId="77777777" w:rsidR="00C33EF0" w:rsidRDefault="00BA46F5">
            <w:r>
              <w:t>Thomson</w:t>
            </w:r>
          </w:p>
        </w:tc>
        <w:tc>
          <w:tcPr>
            <w:tcW w:w="1814" w:type="dxa"/>
          </w:tcPr>
          <w:p w14:paraId="3750F907" w14:textId="77777777" w:rsidR="00C33EF0" w:rsidRDefault="00BA46F5">
            <w:pPr>
              <w:cnfStyle w:val="000000100000" w:firstRow="0" w:lastRow="0" w:firstColumn="0" w:lastColumn="0" w:oddVBand="0" w:evenVBand="0" w:oddHBand="1" w:evenHBand="0" w:firstRowFirstColumn="0" w:firstRowLastColumn="0" w:lastRowFirstColumn="0" w:lastRowLastColumn="0"/>
            </w:pPr>
            <w:r>
              <w:t>0.97</w:t>
            </w:r>
          </w:p>
        </w:tc>
        <w:tc>
          <w:tcPr>
            <w:tcW w:w="1814" w:type="dxa"/>
          </w:tcPr>
          <w:p w14:paraId="386E4581" w14:textId="77777777" w:rsidR="00C33EF0" w:rsidRDefault="00BA46F5">
            <w:pPr>
              <w:cnfStyle w:val="000000100000" w:firstRow="0" w:lastRow="0" w:firstColumn="0" w:lastColumn="0" w:oddVBand="0" w:evenVBand="0" w:oddHBand="1" w:evenHBand="0" w:firstRowFirstColumn="0" w:firstRowLastColumn="0" w:lastRowFirstColumn="0" w:lastRowLastColumn="0"/>
            </w:pPr>
            <w:r>
              <w:t>0.795</w:t>
            </w:r>
          </w:p>
        </w:tc>
        <w:tc>
          <w:tcPr>
            <w:tcW w:w="1814" w:type="dxa"/>
          </w:tcPr>
          <w:p w14:paraId="796D3609" w14:textId="77777777" w:rsidR="00C33EF0" w:rsidRDefault="00BA46F5">
            <w:pPr>
              <w:cnfStyle w:val="000000100000" w:firstRow="0" w:lastRow="0" w:firstColumn="0" w:lastColumn="0" w:oddVBand="0" w:evenVBand="0" w:oddHBand="1" w:evenHBand="0" w:firstRowFirstColumn="0" w:firstRowLastColumn="0" w:lastRowFirstColumn="0" w:lastRowLastColumn="0"/>
            </w:pPr>
            <w:r>
              <w:t>0.585</w:t>
            </w:r>
          </w:p>
        </w:tc>
        <w:tc>
          <w:tcPr>
            <w:tcW w:w="1814" w:type="dxa"/>
          </w:tcPr>
          <w:p w14:paraId="6DBEDEBE" w14:textId="77777777" w:rsidR="00C33EF0" w:rsidRDefault="00BA46F5">
            <w:pPr>
              <w:cnfStyle w:val="000000100000" w:firstRow="0" w:lastRow="0" w:firstColumn="0" w:lastColumn="0" w:oddVBand="0" w:evenVBand="0" w:oddHBand="1" w:evenHBand="0" w:firstRowFirstColumn="0" w:firstRowLastColumn="0" w:lastRowFirstColumn="0" w:lastRowLastColumn="0"/>
            </w:pPr>
            <w:r>
              <w:t>1</w:t>
            </w:r>
          </w:p>
        </w:tc>
      </w:tr>
      <w:tr w:rsidR="00C33EF0" w14:paraId="56083587" w14:textId="77777777" w:rsidTr="00C33EF0">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14" w:type="dxa"/>
          </w:tcPr>
          <w:p w14:paraId="56FE8FE7" w14:textId="77777777" w:rsidR="00C33EF0" w:rsidRDefault="00BA46F5">
            <w:r>
              <w:t>Upper Yarra</w:t>
            </w:r>
          </w:p>
        </w:tc>
        <w:tc>
          <w:tcPr>
            <w:tcW w:w="1814" w:type="dxa"/>
          </w:tcPr>
          <w:p w14:paraId="7EE37FCF" w14:textId="77777777" w:rsidR="00C33EF0" w:rsidRDefault="00BA46F5">
            <w:pPr>
              <w:cnfStyle w:val="000000010000" w:firstRow="0" w:lastRow="0" w:firstColumn="0" w:lastColumn="0" w:oddVBand="0" w:evenVBand="0" w:oddHBand="0" w:evenHBand="1" w:firstRowFirstColumn="0" w:firstRowLastColumn="0" w:lastRowFirstColumn="0" w:lastRowLastColumn="0"/>
            </w:pPr>
            <w:r>
              <w:t>0.98</w:t>
            </w:r>
          </w:p>
        </w:tc>
        <w:tc>
          <w:tcPr>
            <w:tcW w:w="1814" w:type="dxa"/>
          </w:tcPr>
          <w:p w14:paraId="78AB21CE" w14:textId="77777777" w:rsidR="00C33EF0" w:rsidRDefault="00BA46F5">
            <w:pPr>
              <w:cnfStyle w:val="000000010000" w:firstRow="0" w:lastRow="0" w:firstColumn="0" w:lastColumn="0" w:oddVBand="0" w:evenVBand="0" w:oddHBand="0" w:evenHBand="1" w:firstRowFirstColumn="0" w:firstRowLastColumn="0" w:lastRowFirstColumn="0" w:lastRowLastColumn="0"/>
            </w:pPr>
            <w:r>
              <w:t>0.840</w:t>
            </w:r>
          </w:p>
        </w:tc>
        <w:tc>
          <w:tcPr>
            <w:tcW w:w="1814" w:type="dxa"/>
          </w:tcPr>
          <w:p w14:paraId="583CD48B" w14:textId="77777777" w:rsidR="00C33EF0" w:rsidRDefault="00BA46F5">
            <w:pPr>
              <w:cnfStyle w:val="000000010000" w:firstRow="0" w:lastRow="0" w:firstColumn="0" w:lastColumn="0" w:oddVBand="0" w:evenVBand="0" w:oddHBand="0" w:evenHBand="1" w:firstRowFirstColumn="0" w:firstRowLastColumn="0" w:lastRowFirstColumn="0" w:lastRowLastColumn="0"/>
            </w:pPr>
            <w:r>
              <w:t>0.732</w:t>
            </w:r>
          </w:p>
        </w:tc>
        <w:tc>
          <w:tcPr>
            <w:tcW w:w="1814" w:type="dxa"/>
          </w:tcPr>
          <w:p w14:paraId="30B2CA50" w14:textId="77777777" w:rsidR="00C33EF0" w:rsidRDefault="00BA46F5">
            <w:pPr>
              <w:cnfStyle w:val="000000010000" w:firstRow="0" w:lastRow="0" w:firstColumn="0" w:lastColumn="0" w:oddVBand="0" w:evenVBand="0" w:oddHBand="0" w:evenHBand="1" w:firstRowFirstColumn="0" w:firstRowLastColumn="0" w:lastRowFirstColumn="0" w:lastRowLastColumn="0"/>
            </w:pPr>
            <w:r>
              <w:t>10</w:t>
            </w:r>
          </w:p>
        </w:tc>
      </w:tr>
    </w:tbl>
    <w:p w14:paraId="13FA6D6A" w14:textId="77777777" w:rsidR="00C33EF0" w:rsidRDefault="00C33EF0"/>
    <w:p w14:paraId="0944282B" w14:textId="77777777" w:rsidR="00C33EF0" w:rsidRDefault="00BA46F5">
      <w:pPr>
        <w:pStyle w:val="BodyText"/>
        <w:jc w:val="both"/>
      </w:pPr>
      <w:r>
        <w:t>All catchments achieve maximum correlation at lag 0, indicating that API is most informative for same-day inflow. However, forecast skill differs markedly by catchment. O’Shannassy maintains strong correlation through 14 days, while Upper Yarra maintains high correlation out to approximately 10 days. Thomson decays more quickly, and Maroondah remains below the 0.75 threshold across all lead times, suggesting either greater flashiness, localised rainfall not captured by the catchment average rainfall series,</w:t>
      </w:r>
      <w:r>
        <w:t xml:space="preserve"> and/or operational or measurement effects.</w:t>
      </w:r>
    </w:p>
    <w:p w14:paraId="16C5B6FD" w14:textId="77777777" w:rsidR="00C33EF0" w:rsidRDefault="00C33EF0">
      <w:pPr>
        <w:pStyle w:val="BodyText"/>
      </w:pPr>
    </w:p>
    <w:p w14:paraId="3A09D8AF" w14:textId="77777777" w:rsidR="00C33EF0" w:rsidRDefault="00BA46F5">
      <w:pPr>
        <w:pStyle w:val="Heading2"/>
      </w:pPr>
      <w:bookmarkStart w:id="16" w:name="_Toc220775050"/>
      <w:r>
        <w:t>4.6 Spatial context: reservoir locations</w:t>
      </w:r>
      <w:bookmarkEnd w:id="16"/>
    </w:p>
    <w:p w14:paraId="26CA8412" w14:textId="77777777" w:rsidR="00C33EF0" w:rsidRDefault="00BA46F5">
      <w:pPr>
        <w:pStyle w:val="BodyText"/>
        <w:keepNext/>
        <w:jc w:val="both"/>
      </w:pPr>
      <w:r>
        <w:t>Figure 6 maps reservoir locations based on the asset register coordinates. Spatial separation is relevant because storms can be localised; catchment-average rainfall signals may represent different synoptic regimes across the system, influencing comparative rainfall–inflow behaviour.</w:t>
      </w:r>
    </w:p>
    <w:p w14:paraId="42397FDB" w14:textId="77777777" w:rsidR="00C33EF0" w:rsidRDefault="00BA46F5">
      <w:pPr>
        <w:keepNext/>
      </w:pPr>
      <w:r>
        <w:rPr>
          <w:noProof/>
        </w:rPr>
        <w:drawing>
          <wp:inline distT="0" distB="0" distL="0" distR="0" wp14:anchorId="38745C0A" wp14:editId="62FBB789">
            <wp:extent cx="5760000" cy="345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rvoir_locations_map.png"/>
                    <pic:cNvPicPr/>
                  </pic:nvPicPr>
                  <pic:blipFill>
                    <a:blip r:embed="rId13"/>
                    <a:stretch>
                      <a:fillRect/>
                    </a:stretch>
                  </pic:blipFill>
                  <pic:spPr>
                    <a:xfrm>
                      <a:off x="0" y="0"/>
                      <a:ext cx="5760000" cy="3456000"/>
                    </a:xfrm>
                    <a:prstGeom prst="rect">
                      <a:avLst/>
                    </a:prstGeom>
                  </pic:spPr>
                </pic:pic>
              </a:graphicData>
            </a:graphic>
          </wp:inline>
        </w:drawing>
      </w:r>
    </w:p>
    <w:p w14:paraId="32EABBD1" w14:textId="6E9F570B" w:rsidR="00C33EF0" w:rsidRDefault="00BA46F5">
      <w:pPr>
        <w:pStyle w:val="Caption"/>
        <w:keepNext/>
      </w:pPr>
      <w:bookmarkStart w:id="17" w:name="_Toc220775058"/>
      <w:r>
        <w:t xml:space="preserve">Figure </w:t>
      </w:r>
      <w:r>
        <w:fldChar w:fldCharType="begin"/>
      </w:r>
      <w:r>
        <w:instrText>SEQ Figure \* ARABIC</w:instrText>
      </w:r>
      <w:r>
        <w:fldChar w:fldCharType="separate"/>
      </w:r>
      <w:r w:rsidR="00E37D1D">
        <w:rPr>
          <w:noProof/>
        </w:rPr>
        <w:t>6</w:t>
      </w:r>
      <w:r>
        <w:fldChar w:fldCharType="end"/>
      </w:r>
      <w:r>
        <w:t xml:space="preserve"> – Reservoir locations derived from the asset register (MGA Zone 55 converted to latitude/longitude).</w:t>
      </w:r>
      <w:bookmarkEnd w:id="17"/>
    </w:p>
    <w:p w14:paraId="723410CC" w14:textId="77777777" w:rsidR="00C33EF0" w:rsidRDefault="00C33EF0">
      <w:pPr>
        <w:pStyle w:val="BodyText"/>
      </w:pPr>
    </w:p>
    <w:p w14:paraId="52755413" w14:textId="77777777" w:rsidR="00C33EF0" w:rsidRDefault="00BA46F5">
      <w:pPr>
        <w:pStyle w:val="Heading1"/>
      </w:pPr>
      <w:bookmarkStart w:id="18" w:name="_Toc220775051"/>
      <w:r>
        <w:t>5. Key Findings</w:t>
      </w:r>
      <w:bookmarkEnd w:id="18"/>
    </w:p>
    <w:p w14:paraId="7A274161" w14:textId="77777777" w:rsidR="00C33EF0" w:rsidRDefault="00BA46F5">
      <w:pPr>
        <w:pStyle w:val="BodyText"/>
        <w:jc w:val="both"/>
      </w:pPr>
      <w:r>
        <w:t>The key findings below synthesise results across Figures 1–6 and Tables 1–2, linking system storage behaviour with catchment response timing and persistence.</w:t>
      </w:r>
    </w:p>
    <w:p w14:paraId="4F041655" w14:textId="77777777" w:rsidR="00C33EF0" w:rsidRDefault="00BA46F5">
      <w:pPr>
        <w:pStyle w:val="ListBullet"/>
      </w:pPr>
      <w:r>
        <w:t>System storage remained below combined usable capacity throughout 2015–2019, with a material drawdown during 2018–2019 largely driven by Thomson (Figure 1).</w:t>
      </w:r>
    </w:p>
    <w:p w14:paraId="6AD98A87" w14:textId="77777777" w:rsidR="00C33EF0" w:rsidRDefault="00BA46F5">
      <w:pPr>
        <w:pStyle w:val="ListBullet"/>
      </w:pPr>
      <w:r>
        <w:t>2017 time series show a wet-season regime with sustained inflow elevation beyond individual rainfall events, consistent with catchment wetting-up and baseflow contributions (Figure 2).</w:t>
      </w:r>
    </w:p>
    <w:p w14:paraId="36A43A1B" w14:textId="77777777" w:rsidR="00C33EF0" w:rsidRDefault="00BA46F5">
      <w:pPr>
        <w:pStyle w:val="ListBullet"/>
      </w:pPr>
      <w:r>
        <w:t>Raw rainfall is a weak predictor of inflow at daily resolution; peak Spearman correlation is modest and largely confined to lag 0–1 days (Figure 3).</w:t>
      </w:r>
    </w:p>
    <w:p w14:paraId="5555E85C" w14:textId="77777777" w:rsidR="00C33EF0" w:rsidRDefault="00BA46F5">
      <w:pPr>
        <w:pStyle w:val="ListBullet"/>
      </w:pPr>
      <w:r>
        <w:t>API calibration yields high optimal decay factors (k ≈ 0.97–0.98) and long catchment memory times (~33–49 days), indicating strong dependence on antecedent wetness (Figure 4, Table 1).</w:t>
      </w:r>
    </w:p>
    <w:p w14:paraId="5BC0075C" w14:textId="77777777" w:rsidR="00C33EF0" w:rsidRDefault="00BA46F5">
      <w:pPr>
        <w:pStyle w:val="ListBullet"/>
      </w:pPr>
      <w:r>
        <w:t>API substantially improves correlation and retains predictive skill to 14 days, particularly for O’Shannassy and Upper Yarra, which exhibit the most persistent behaviour (Figure 5, Table 2).</w:t>
      </w:r>
    </w:p>
    <w:p w14:paraId="70E72A83" w14:textId="77777777" w:rsidR="00C33EF0" w:rsidRDefault="00BA46F5">
      <w:pPr>
        <w:pStyle w:val="ListBullet"/>
      </w:pPr>
      <w:r>
        <w:t>Reservoirs are geographically dispersed, supporting the interpretation that spatial rainfall variability and differing catchment characteristics contribute to differences in correlation and persistence (Figure 6).</w:t>
      </w:r>
    </w:p>
    <w:p w14:paraId="6F56D87A" w14:textId="77777777" w:rsidR="00C33EF0" w:rsidRDefault="00C33EF0">
      <w:pPr>
        <w:pStyle w:val="BodyText"/>
      </w:pPr>
    </w:p>
    <w:p w14:paraId="71BBA7F2" w14:textId="77777777" w:rsidR="00C33EF0" w:rsidRDefault="00BA46F5">
      <w:pPr>
        <w:pStyle w:val="Heading1"/>
      </w:pPr>
      <w:bookmarkStart w:id="19" w:name="_Toc220775052"/>
      <w:r>
        <w:t>6. Recommendations</w:t>
      </w:r>
      <w:bookmarkEnd w:id="19"/>
    </w:p>
    <w:p w14:paraId="4726D0D8" w14:textId="77777777" w:rsidR="00C33EF0" w:rsidRDefault="00BA46F5">
      <w:pPr>
        <w:pStyle w:val="BodyText"/>
        <w:jc w:val="both"/>
      </w:pPr>
      <w:r>
        <w:t>The analyses indicate that a persistent wetness state explains inflow substantially better than raw daily rainfall. The following recommendations support improved operational use and further technical refinement.</w:t>
      </w:r>
    </w:p>
    <w:p w14:paraId="3726D7E5" w14:textId="77777777" w:rsidR="00C33EF0" w:rsidRDefault="00BA46F5">
      <w:pPr>
        <w:pStyle w:val="ListBullet"/>
      </w:pPr>
      <w:r>
        <w:t>Extend API calibration beyond k = 0.98 (e.g., up to 0.995) for catchments that peaked at the current upper bound (Table 1), to confirm whether longer memory further improves performance.</w:t>
      </w:r>
    </w:p>
    <w:p w14:paraId="68353578" w14:textId="77777777" w:rsidR="00C33EF0" w:rsidRDefault="00BA46F5">
      <w:pPr>
        <w:pStyle w:val="ListBullet"/>
      </w:pPr>
      <w:r>
        <w:t>Test alternative wetness indices (e.g., multi-store API, soil moisture accounting, or rainfall–runoff models with slow/fast stores) to better capture flashiness in catchments such as Maroondah (Figure 5, Table 2).</w:t>
      </w:r>
    </w:p>
    <w:p w14:paraId="5C512F28" w14:textId="77777777" w:rsidR="00C33EF0" w:rsidRDefault="00BA46F5">
      <w:pPr>
        <w:pStyle w:val="ListBullet"/>
      </w:pPr>
      <w:r>
        <w:t>Incorporate seasonality explicitly (e.g., separate calibration for wet/dry seasons or temperature-based evapotranspiration proxies) to account for changing runoff efficiency.</w:t>
      </w:r>
    </w:p>
    <w:p w14:paraId="318B0752" w14:textId="77777777" w:rsidR="00C33EF0" w:rsidRDefault="00BA46F5">
      <w:pPr>
        <w:pStyle w:val="ListBullet"/>
      </w:pPr>
      <w:r>
        <w:t>Evaluate spatial rainfall representation (e.g., multiple gauges, gridded rainfall, or radar products) to reduce mismatch between catchment-average rainfall and true effective precipitation, particularly for localised storm events (Figure 6).</w:t>
      </w:r>
    </w:p>
    <w:p w14:paraId="3DA49CF2" w14:textId="77777777" w:rsidR="00C33EF0" w:rsidRDefault="00BA46F5">
      <w:pPr>
        <w:pStyle w:val="ListBullet"/>
      </w:pPr>
      <w:r>
        <w:t>Assess operational influences and data artefacts (e.g., flow regulation, diversions, measurement timing) where lag-1 rainfall correlation peaks or where event responses appear inconsistent (Figure 3).</w:t>
      </w:r>
    </w:p>
    <w:p w14:paraId="6F25C6AE" w14:textId="77777777" w:rsidR="00C33EF0" w:rsidRDefault="00BA46F5">
      <w:pPr>
        <w:pStyle w:val="ListBullet"/>
      </w:pPr>
      <w:r>
        <w:t>Develop a simple operational forecasting tool using calibrated API with lead-time performance benchmarks (Table 2), complemented by rainfall forecast scenarios for event-driven peaks.</w:t>
      </w:r>
    </w:p>
    <w:p w14:paraId="1743E817" w14:textId="77777777" w:rsidR="00C33EF0" w:rsidRDefault="00C33EF0">
      <w:pPr>
        <w:pStyle w:val="BodyText"/>
      </w:pPr>
    </w:p>
    <w:p w14:paraId="232B7CF8" w14:textId="77777777" w:rsidR="00C33EF0" w:rsidRDefault="00BA46F5">
      <w:pPr>
        <w:pStyle w:val="BodyText"/>
        <w:jc w:val="both"/>
      </w:pPr>
      <w:r>
        <w:t>Further analyses that would strengthen confidence include: quantile-based performance (high-flow versus low-flow regimes), event separation analysis to estimate unit hydrograph characteristics, and evaluation of non-stationarity (e.g., 2015–2016 versus 2018–2019) to link storage drawdown periods to shifts in catchment response and yield.</w:t>
      </w:r>
    </w:p>
    <w:sectPr w:rsidR="00C33EF0" w:rsidSect="00034616">
      <w:headerReference w:type="default" r:id="rId14"/>
      <w:footerReference w:type="default" r:id="rId15"/>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77784" w14:textId="77777777" w:rsidR="00BA46F5" w:rsidRDefault="00BA46F5">
      <w:pPr>
        <w:spacing w:after="0" w:line="240" w:lineRule="auto"/>
      </w:pPr>
      <w:r>
        <w:separator/>
      </w:r>
    </w:p>
  </w:endnote>
  <w:endnote w:type="continuationSeparator" w:id="0">
    <w:p w14:paraId="01462EA7" w14:textId="77777777" w:rsidR="00BA46F5" w:rsidRDefault="00BA46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F61D8" w14:textId="77777777" w:rsidR="00C33EF0" w:rsidRDefault="00C33EF0">
    <w:pPr>
      <w:pStyle w:val="Footer"/>
    </w:pPr>
  </w:p>
  <w:tbl>
    <w:tblPr>
      <w:tblW w:w="0" w:type="auto"/>
      <w:jc w:val="center"/>
      <w:tblLook w:val="04A0" w:firstRow="1" w:lastRow="0" w:firstColumn="1" w:lastColumn="0" w:noHBand="0" w:noVBand="1"/>
    </w:tblPr>
    <w:tblGrid>
      <w:gridCol w:w="4535"/>
      <w:gridCol w:w="4535"/>
    </w:tblGrid>
    <w:tr w:rsidR="00C33EF0" w14:paraId="293CD232" w14:textId="77777777">
      <w:trPr>
        <w:jc w:val="center"/>
      </w:trPr>
      <w:tc>
        <w:tcPr>
          <w:tcW w:w="4535" w:type="dxa"/>
          <w:vAlign w:val="center"/>
        </w:tcPr>
        <w:p w14:paraId="1E596EF1" w14:textId="77777777" w:rsidR="00C33EF0" w:rsidRDefault="00BA46F5">
          <w:pPr>
            <w:pStyle w:val="Footer"/>
          </w:pPr>
          <w:r>
            <w:t>31 January 2026</w:t>
          </w:r>
        </w:p>
      </w:tc>
      <w:tc>
        <w:tcPr>
          <w:tcW w:w="4535" w:type="dxa"/>
          <w:vAlign w:val="center"/>
        </w:tcPr>
        <w:p w14:paraId="6801D45D" w14:textId="77777777" w:rsidR="00C33EF0" w:rsidRDefault="00BA46F5">
          <w:pPr>
            <w:pStyle w:val="Footer"/>
            <w:jc w:val="right"/>
          </w:pPr>
          <w:r>
            <w:fldChar w:fldCharType="begin"/>
          </w:r>
          <w:r>
            <w:instrText>PAGE  \* MERGEFORMAT</w:instrText>
          </w:r>
          <w:r>
            <w:fldChar w:fldCharType="separate"/>
          </w:r>
          <w:r w:rsidR="00E37D1D">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23965" w14:textId="77777777" w:rsidR="00BA46F5" w:rsidRDefault="00BA46F5">
      <w:pPr>
        <w:spacing w:after="0" w:line="240" w:lineRule="auto"/>
      </w:pPr>
      <w:r>
        <w:separator/>
      </w:r>
    </w:p>
  </w:footnote>
  <w:footnote w:type="continuationSeparator" w:id="0">
    <w:p w14:paraId="77CA3ED7" w14:textId="77777777" w:rsidR="00BA46F5" w:rsidRDefault="00BA46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069D" w14:textId="77777777" w:rsidR="00C33EF0" w:rsidRDefault="00BA46F5">
    <w:pPr>
      <w:pStyle w:val="Header"/>
      <w:jc w:val="center"/>
    </w:pPr>
    <w:r>
      <w:rPr>
        <w:color w:val="666666"/>
        <w:sz w:val="20"/>
      </w:rPr>
      <w:t>Catchment Rainfall and Reservoir Inflow Relationship (2015–2019)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1394160">
    <w:abstractNumId w:val="8"/>
  </w:num>
  <w:num w:numId="2" w16cid:durableId="1373767145">
    <w:abstractNumId w:val="6"/>
  </w:num>
  <w:num w:numId="3" w16cid:durableId="718938102">
    <w:abstractNumId w:val="5"/>
  </w:num>
  <w:num w:numId="4" w16cid:durableId="1555193322">
    <w:abstractNumId w:val="4"/>
  </w:num>
  <w:num w:numId="5" w16cid:durableId="1703897549">
    <w:abstractNumId w:val="7"/>
  </w:num>
  <w:num w:numId="6" w16cid:durableId="875040594">
    <w:abstractNumId w:val="3"/>
  </w:num>
  <w:num w:numId="7" w16cid:durableId="1437602921">
    <w:abstractNumId w:val="2"/>
  </w:num>
  <w:num w:numId="8" w16cid:durableId="911236113">
    <w:abstractNumId w:val="1"/>
  </w:num>
  <w:num w:numId="9" w16cid:durableId="819078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A46F5"/>
    <w:rsid w:val="00C33EF0"/>
    <w:rsid w:val="00C61486"/>
    <w:rsid w:val="00CB0664"/>
    <w:rsid w:val="00E37D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2D502F"/>
  <w14:defaultImageDpi w14:val="300"/>
  <w15:docId w15:val="{26F13E38-BE18-44BD-8F98-7033E128C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66666"/>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37D1D"/>
    <w:pPr>
      <w:spacing w:after="100"/>
    </w:pPr>
  </w:style>
  <w:style w:type="paragraph" w:styleId="TOC2">
    <w:name w:val="toc 2"/>
    <w:basedOn w:val="Normal"/>
    <w:next w:val="Normal"/>
    <w:autoRedefine/>
    <w:uiPriority w:val="39"/>
    <w:unhideWhenUsed/>
    <w:rsid w:val="00E37D1D"/>
    <w:pPr>
      <w:spacing w:after="100"/>
      <w:ind w:left="220"/>
    </w:pPr>
  </w:style>
  <w:style w:type="character" w:styleId="Hyperlink">
    <w:name w:val="Hyperlink"/>
    <w:basedOn w:val="DefaultParagraphFont"/>
    <w:uiPriority w:val="99"/>
    <w:unhideWhenUsed/>
    <w:rsid w:val="00E37D1D"/>
    <w:rPr>
      <w:color w:val="0000FF" w:themeColor="hyperlink"/>
      <w:u w:val="single"/>
    </w:rPr>
  </w:style>
  <w:style w:type="paragraph" w:styleId="TableofFigures">
    <w:name w:val="table of figures"/>
    <w:basedOn w:val="Normal"/>
    <w:next w:val="Normal"/>
    <w:uiPriority w:val="99"/>
    <w:unhideWhenUsed/>
    <w:rsid w:val="00E37D1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ep:Properties xmlns:ep="http://schemas.openxmlformats.org/officeDocument/2006/extended-properties" xmlns:vt="http://schemas.openxmlformats.org/officeDocument/2006/docPropsVTypes">
  <ep:Template>Normal.dotm</ep:Template>
  <ep:TotalTime>0</ep:TotalTime>
  <ep:Pages>2</ep:Pages>
  <ep:Words>2112</ep:Words>
  <ep:Characters>12040</ep:Characters>
  <ep:Application>Microsoft Office Word</ep:Application>
  <ep:DocSecurity>0</ep:DocSecurity>
  <ep:Lines>100</ep:Lines>
  <ep:Paragraphs>28</ep:Paragraphs>
  <ep:ScaleCrop>false</ep:ScaleCrop>
  <ep:HeadingPairs>
    <vt:vector size="2" baseType="variant">
      <vt:variant>
        <vt:lpstr>Title</vt:lpstr>
      </vt:variant>
      <vt:variant>
        <vt:i4>1</vt:i4>
      </vt:variant>
    </vt:vector>
  </ep:HeadingPairs>
  <ep:TitlesOfParts>
    <vt:vector size="1" baseType="lpstr">
      <vt:lpstr/>
    </vt:vector>
  </ep:TitlesOfParts>
  <ep:Manager/>
  <ep:Company/>
  <ep:LinksUpToDate>false</ep:LinksUpToDate>
  <ep:CharactersWithSpaces>14124</ep:CharactersWithSpaces>
  <ep:SharedDoc>false</ep:SharedDoc>
  <ep:HyperlinkBase/>
  <ep:HyperlinksChanged>false</ep:HyperlinksChanged>
  <ep:AppVersion>16.0000</ep:AppVersion>
</ep: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generated by python-docx</dc:description>
  <cp:lastModifiedBy/>
  <cp:revision>2</cp:revision>
  <dcterms:created xsi:type="dcterms:W3CDTF">2013-12-23T23:15:00Z</dcterms:created>
  <dcterms:modified xsi:type="dcterms:W3CDTF">2026-01-31T07:03:00Z</dcterms:modified>
  <cp:category/>
</cp:coreProperties>
</file>