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eg" Extension="jpeg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《红楼梦》底层原理深度解析：叙事架构、哲学内核与系统衰变" w:id="1"/>
      <w:r>
        <w:t xml:space="preserve">《红楼梦》底层原理深度解析：叙事架构、哲学内核与系统衰变</w:t>
      </w:r>
      <w:bookmarkEnd w:id="1"/>
    </w:p>
    <w:p>
      <w:pPr>
        <w:pStyle w:val="Heading2"/>
      </w:pPr>
      <w:bookmarkStart w:name="数据来源说明" w:id="1"/>
      <w:r>
        <w:t xml:space="preserve">数据来源说明</w:t>
      </w:r>
      <w:bookmarkEnd w:id="1"/>
    </w:p>
    <w:p>
      <w:r>
        <w:t xml:space="preserve">本文档内容基于《红楼梦》原著文本片段（涵盖第一回至第一百二十回关键情节）及多篇学术分析文献（包括叙事分层理论、神话原型批评及系统熵增视角解读）综合整理而成。旨在透过故事表象，揭示作品深层的叙事逻辑、哲学隐喻及社会系统演变规律。</w:t>
      </w:r>
    </w:p>
    <w:p>
      <w:pPr>
        <w:pBdr>
          <w:top w:val="single" w:sz="6"/>
        </w:pBdr>
      </w:pPr>
    </w:p>
    <w:p>
      <w:pPr>
        <w:pStyle w:val="Heading1"/>
      </w:pPr>
      <w:bookmarkStart w:name="一、叙事架构：多层嵌套与“自况”机制" w:id="1"/>
      <w:r>
        <w:t xml:space="preserve">一、叙事架构：多层嵌套与“自况”机制</w:t>
      </w:r>
      <w:bookmarkEnd w:id="1"/>
    </w:p>
    <w:p>
      <w:r>
        <w:t xml:space="preserve">《红楼梦》并非单一的线性叙事，而是一个精心设计的</w:t>
      </w:r>
      <w:r>
        <w:rPr>
          <w:b/>
          <w:bCs/>
        </w:rPr>
        <w:t xml:space="preserve">多层嵌套结构</w:t>
      </w:r>
      <w:r>
        <w:t xml:space="preserve">。这种结构不仅构建了故事的合法性，更实现了作者、叙述者与主人公之间的深度互文。</w:t>
      </w:r>
    </w:p>
    <w:p>
      <w:pPr>
        <w:pStyle w:val="Heading2"/>
      </w:pPr>
      <w:bookmarkStart w:name="1-三重叙事层次" w:id="1"/>
      <w:r>
        <w:t xml:space="preserve">1. 三重叙事层次</w:t>
      </w:r>
      <w:bookmarkEnd w:id="1"/>
    </w:p>
    <w:p>
      <w:r>
        <w:t xml:space="preserve">根据叙事学分析，全书可划分为三个清晰的叙述层级：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超叙述层（神话起源）</w:t>
      </w:r>
      <w:r>
        <w:t xml:space="preserve">：由“在下”（模仿说书人）及“空空道人”构成。此层交代了《石头记》的来历——一块无才补天的顽石，经茫茫大士、渺渺真人点化，携入红尘。这一层确立了“假作真时真亦假”的基调，将故事置于虚幻的神话背景中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主叙述层（现实经历）</w:t>
      </w:r>
      <w:r>
        <w:t xml:space="preserve">：由“石头”作为叙述者，记录贾宝玉在贾府的兴衰历程及大观园中众女子的悲欢离合。这是读者主要感知的“现实世界”，涵盖了从冷子兴演说荣国府到贾府被抄的全过程。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次叙述层（书中书/话中话）</w:t>
      </w:r>
      <w:r>
        <w:t xml:space="preserve">：由书中人物讲述的故事。例如葫芦庙小沙弥讲述英莲身世、平儿讲述石呆子扇子案、贾雨村判案等。这些小故事往往是大故事命运的缩影或预演，形成了“草蛇灰线”的伏笔网络。</w:t>
      </w:r>
    </w:p>
    <w:p>
      <w:pPr>
        <w:pStyle w:val="Heading2"/>
      </w:pPr>
      <w:bookmarkStart w:name="2-“自况”的创作特征" w:id="1"/>
      <w:r>
        <w:t xml:space="preserve">2. “自况”的创作特征</w:t>
      </w:r>
      <w:bookmarkEnd w:id="1"/>
    </w:p>
    <w:p>
      <w:r>
        <w:t xml:space="preserve">作品通过独特的分层设计，暗示了</w:t>
      </w:r>
      <w:r>
        <w:rPr>
          <w:b/>
          <w:bCs/>
        </w:rPr>
        <w:t xml:space="preserve">作者与叙述者、主人公的互相映照</w:t>
      </w:r>
      <w:r>
        <w:t xml:space="preserve">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自我抒写</w:t>
      </w:r>
      <w:r>
        <w:t xml:space="preserve">：曹雪芹借“石头”之口，行“自况”之实。宝玉的“愚拙偏僻”、“情不情”，实则是作者对自我生命体验的投射。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真假辩证</w:t>
      </w:r>
      <w:r>
        <w:t xml:space="preserve">：开篇提到的“贾雨村言”（假语村言）与“甄士隐”（真事隐），不仅是人名谐音，更是叙事策略。作者刻意模糊真实与虚构的边界，让读者在“满纸荒唐言”中体悟“一把辛酸泪”的真实情感内核。</w:t>
      </w:r>
    </w:p>
    <w:p>
      <w:pPr>
        <w:pBdr>
          <w:top w:val="single" w:sz="6"/>
        </w:pBdr>
      </w:pPr>
    </w:p>
    <w:p>
      <w:pPr>
        <w:pStyle w:val="Heading1"/>
      </w:pPr>
      <w:bookmarkStart w:name="二、哲学内核：虚实辩证与悲剧宿命" w:id="1"/>
      <w:r>
        <w:t xml:space="preserve">二、哲学内核：虚实辩证与悲剧宿命</w:t>
      </w:r>
      <w:bookmarkEnd w:id="1"/>
    </w:p>
    <w:p>
      <w:r>
        <w:t xml:space="preserve">《红楼梦》的底层逻辑建立在深刻的中国古典哲学之上，核心在于对存在本质的追问和对命运必然性的揭示。</w:t>
      </w:r>
    </w:p>
    <w:p>
      <w:pPr>
        <w:pStyle w:val="Heading2"/>
      </w:pPr>
      <w:bookmarkStart w:name="1-“真与假”、“有与无”的辩证" w:id="1"/>
      <w:r>
        <w:t xml:space="preserve">1. “真与假”、“有与无”的辩证</w:t>
      </w:r>
      <w:bookmarkEnd w:id="1"/>
    </w:p>
    <w:p>
      <w:r>
        <w:t xml:space="preserve">太虚幻境的对联"</w:t>
      </w:r>
      <w:r>
        <w:rPr>
          <w:b/>
          <w:bCs/>
        </w:rPr>
        <w:t xml:space="preserve">假作真时真亦假，无为有处有还无</w:t>
      </w:r>
      <w:r>
        <w:t xml:space="preserve">"是全书的哲学总纲。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幻象即真实</w:t>
      </w:r>
      <w:r>
        <w:t xml:space="preserve">：贾府的繁华（有）最终归于白茫茫大地真干净（无），而宝玉与黛玉的情感（看似虚幻的情痴）却是书中唯一真实的生命体验。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镜像世界</w:t>
      </w:r>
      <w:r>
        <w:t xml:space="preserve">：太虚幻境中的“金陵十二钗”判词与《红楼梦》十二支曲，是现实人物命运的预演和本质写照。现实世界的人物（如宝钗、黛玉）不过是太虚幻境中仙子的投影，这种设定消解了现实时间的单向性，赋予了命运一种先验的悲剧色彩。</w:t>
      </w:r>
    </w:p>
    <w:p>
      <w:pPr>
        <w:pStyle w:val="Heading2"/>
      </w:pPr>
      <w:bookmarkStart w:name="2-“万艳同悲”的悲剧内核" w:id="1"/>
      <w:r>
        <w:t xml:space="preserve">2. “万艳同悲”的悲剧内核</w:t>
      </w:r>
      <w:bookmarkEnd w:id="1"/>
    </w:p>
    <w:p>
      <w:r>
        <w:t xml:space="preserve">作品的深层结构植根于一种</w:t>
      </w:r>
      <w:r>
        <w:rPr>
          <w:b/>
          <w:bCs/>
        </w:rPr>
        <w:t xml:space="preserve">集体性的悲剧意识</w:t>
      </w:r>
      <w:r>
        <w:t xml:space="preserve">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千红一窟，万艳同杯</w:t>
      </w:r>
      <w:r>
        <w:t xml:space="preserve">：警幻仙姑所制的茶酒之名，谐音“千红一哭”、“万艳同悲”。这揭示了无论身份高低（从元春到晴雯）、性格异同（从宝钗的圆融到黛玉的孤高），所有女性最终都难逃“薄命司”的归宿。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美的毁灭</w:t>
      </w:r>
      <w:r>
        <w:t xml:space="preserve">：鲁迅曾言悲剧是将人生有价值的东西毁灭给人看。《红楼梦》通过展示美好生命（青春、才情、纯真）在封建礼教和家族衰败双重挤压下的必然毁灭，完成了对生命价值的终极哀悼。</w:t>
      </w:r>
    </w:p>
    <w:p>
      <w:pPr>
        <w:pBdr>
          <w:top w:val="single" w:sz="6"/>
        </w:pBdr>
      </w:pPr>
    </w:p>
    <w:p>
      <w:pPr>
        <w:pStyle w:val="Heading1"/>
      </w:pPr>
      <w:bookmarkStart w:name="三、系统视角：封闭系统的熵增与衰变" w:id="1"/>
      <w:r>
        <w:t xml:space="preserve">三、系统视角：封闭系统的熵增与衰变</w:t>
      </w:r>
      <w:bookmarkEnd w:id="1"/>
    </w:p>
    <w:p>
      <w:r>
        <w:t xml:space="preserve">若引入现代系统论与热力学第二定律（熵增定律）视角，《红楼梦》可被视为一个</w:t>
      </w:r>
      <w:r>
        <w:rPr>
          <w:b/>
          <w:bCs/>
        </w:rPr>
        <w:t xml:space="preserve">封闭系统走向热寂</w:t>
      </w:r>
      <w:r>
        <w:t xml:space="preserve">的经典案例。</w:t>
      </w:r>
    </w:p>
    <w:p>
      <w:pPr>
        <w:pStyle w:val="Heading2"/>
      </w:pPr>
      <w:bookmarkStart w:name="1-结构性危机与熵增" w:id="1"/>
      <w:r>
        <w:t xml:space="preserve">1. 结构性危机与熵增</w:t>
      </w:r>
      <w:bookmarkEnd w:id="1"/>
    </w:p>
    <w:p>
      <w:r>
        <w:t xml:space="preserve">贾府作为一个豪门系统，其衰败并非偶然，而是符合</w:t>
      </w:r>
      <w:r>
        <w:rPr>
          <w:b/>
          <w:bCs/>
        </w:rPr>
        <w:t xml:space="preserve">熵增定律</w:t>
      </w:r>
      <w:r>
        <w:t xml:space="preserve">的必然结果：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能量输入停滞</w:t>
      </w:r>
      <w:r>
        <w:t xml:space="preserve">：系统缺乏新的政治资源（元春之死标志着靠山倒塌）和经济来源（田庄收入减少，内部挥霍无度）。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内部无序度增加</w:t>
      </w:r>
      <w:r>
        <w:t xml:space="preserve">：家族内部矛盾激化（嫡庶之争、主仆勾心斗角），管理混乱（王熙凤虽有心补救但独木难支），导致系统内部的“熵”急剧增加。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无效的微调</w:t>
      </w:r>
      <w:r>
        <w:t xml:space="preserve">：探春的改革（承包大观园）和王熙凤的克扣放贷，仅是系统内部的局部微调，无法改变能量枯竭的大趋势，反而加速了内部的内耗。</w:t>
      </w:r>
    </w:p>
    <w:p>
      <w:pPr>
        <w:pStyle w:val="Heading2"/>
      </w:pPr>
      <w:bookmarkStart w:name="2-“减法”与“加法”的博弈" w:id="1"/>
      <w:r>
        <w:t xml:space="preserve">2. “减法”与“加法”的博弈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系统的“加法”</w:t>
      </w:r>
      <w:r>
        <w:t xml:space="preserve">：贾府不断“增实体”，增加排场（如元春省亲）、增加人口、增加繁文缛节，这加速了系统的崩溃。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个体的“减法”</w:t>
      </w:r>
      <w:r>
        <w:t xml:space="preserve">：宝玉和黛玉代表了系统中试图做“减法”的力量。宝玉厌恶仕途经济的冗余，黛玉追求情感的纯粹。然而，在一个注定走向混乱的封闭系统中，这种追求精神净化的“减法”无力对抗整个体制的惯性，最终只能以个体的消亡或出走（宝玉出家）告终。</w:t>
      </w:r>
    </w:p>
    <w:p>
      <w:pPr>
        <w:pBdr>
          <w:top w:val="single" w:sz="6"/>
        </w:pBdr>
      </w:pPr>
    </w:p>
    <w:p>
      <w:pPr>
        <w:pStyle w:val="Heading1"/>
      </w:pPr>
      <w:bookmarkStart w:name="四、总结：从叙事技巧到生命追问" w:id="1"/>
      <w:r>
        <w:t xml:space="preserve">四、总结：从叙事技巧到生命追问</w:t>
      </w:r>
      <w:bookmarkEnd w:id="1"/>
    </w:p>
    <w:p>
      <w:r>
        <w:t xml:space="preserve">《红楼梦》的底层原理，是通过</w:t>
      </w:r>
      <w:r>
        <w:rPr>
          <w:b/>
          <w:bCs/>
        </w:rPr>
        <w:t xml:space="preserve">宏大的叙事架构</w:t>
      </w:r>
      <w:r>
        <w:t xml:space="preserve">承载</w:t>
      </w:r>
      <w:r>
        <w:rPr>
          <w:b/>
          <w:bCs/>
        </w:rPr>
        <w:t xml:space="preserve">深邃的哲学思考</w:t>
      </w:r>
      <w:r>
        <w:t xml:space="preserve">，并借由</w:t>
      </w:r>
      <w:r>
        <w:rPr>
          <w:b/>
          <w:bCs/>
        </w:rPr>
        <w:t xml:space="preserve">家族兴衰的系统模型</w:t>
      </w:r>
      <w:r>
        <w:t xml:space="preserve">映射人类普遍的生存困境。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叙事上</w:t>
      </w:r>
      <w:r>
        <w:t xml:space="preserve">：利用多重叙述者和神话框架，打破了时空限制，实现了历史真实与艺术虚构的完美统一。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哲学上</w:t>
      </w:r>
      <w:r>
        <w:t xml:space="preserve">：以“空”和“梦”为底色，探讨了存在的虚无与情感的实在，提出了“人从何处来，往何处去”的终极命题。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社会上</w:t>
      </w:r>
      <w:r>
        <w:t xml:space="preserve">：精准刻画了一个封建大家族在内外交困下不可逆转的衰亡过程，揭示了“百足之虫，死而不僵”背后的系统性崩塌逻辑。</w:t>
      </w:r>
    </w:p>
    <w:p>
      <w:r>
        <w:t xml:space="preserve">正如书末所言：“说到辛酸处，荒唐愈可悲。由来同一梦，休笑世人痴。”这不仅是一部小说，更是一次关于生命、时间与命运的深刻复盘。</w:t>
      </w:r>
    </w:p>
    <w:p>
      <w:r>
        <w:t>|（注：文档部分内容可能由 AI 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settings.xml" Type="http://schemas.openxmlformats.org/officeDocument/2006/relationships/settings"/><Relationship Id="rId6" Target="comments.xml" Type="http://schemas.openxmlformats.org/officeDocument/2006/relationships/comments"/><Relationship Id="rId7" Target="fontTable.xml" Type="http://schemas.openxmlformats.org/officeDocument/2006/relationships/fontTable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2026-07-15T14:16:49Z</dcterms:created>
  <dc:creator>Un-named</dc:creator>
  <cp:lastModifiedBy>Un-named</cp:lastModifiedBy>
  <dcterms:modified xsi:type="dcterms:W3CDTF">2026-07-15T14:16:49Z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ecloudAiAssistant_AIGC">
    <vt:lpwstr>guAnQJvyTCWk+uT9pok9WbVJ2QZLxG+i4QGSibq0y4B3fG+FtZ8vWHN521WkH3ewCzETb3Im8YuSlCnNmUEZDbJipwS7wxB1LJDWQjsOcXHJBhRGNHqxcDXrTqMpCim4b/Y3r4HT8TT3BMF69VBMgegUKOQ9zIoTmp+SZoCm5jKG2O7C2PXAec6w/VL31pRPx3IS6VRH2iLNSF48MKlmcg==</vt:lpwstr>
  </property>
</Properties>
</file>