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3AC5" w:rsidRDefault="001C3AC5"/>
    <w:p w:rsidR="001C3AC5" w:rsidRDefault="001C3AC5"/>
    <w:p w:rsidR="001C3AC5" w:rsidRDefault="004D439F">
      <w:pPr>
        <w:jc w:val="center"/>
      </w:pPr>
      <w:r>
        <w:rPr>
          <w:b/>
          <w:color w:val="1F497D"/>
          <w:sz w:val="44"/>
        </w:rPr>
        <w:t>Improving Myoelectric Prosthesis Control</w:t>
      </w:r>
    </w:p>
    <w:p w:rsidR="001C3AC5" w:rsidRDefault="004D439F">
      <w:pPr>
        <w:jc w:val="center"/>
      </w:pPr>
      <w:r>
        <w:rPr>
          <w:color w:val="404040"/>
          <w:sz w:val="28"/>
        </w:rPr>
        <w:t>Machine Learning Prediction of Hand Kinematics from Surface EMG Signals</w:t>
      </w:r>
    </w:p>
    <w:p w:rsidR="001C3AC5" w:rsidRDefault="001C3AC5"/>
    <w:p w:rsidR="001C3AC5" w:rsidRDefault="004D439F">
      <w:pPr>
        <w:jc w:val="center"/>
      </w:pPr>
      <w:r>
        <w:t>MSc</w:t>
      </w:r>
      <w:r w:rsidR="006904D3">
        <w:t xml:space="preserve"> </w:t>
      </w:r>
      <w:r>
        <w:t>Project Report</w:t>
      </w:r>
      <w:r w:rsidR="006904D3">
        <w:t xml:space="preserve"> 2</w:t>
      </w:r>
    </w:p>
    <w:p w:rsidR="001C3AC5" w:rsidRDefault="004D439F">
      <w:pPr>
        <w:jc w:val="center"/>
      </w:pPr>
      <w:r>
        <w:t>Dataset: NinaPro DB2 — 19 Subjects</w:t>
      </w:r>
    </w:p>
    <w:p w:rsidR="001C3AC5" w:rsidRDefault="004D439F">
      <w:pPr>
        <w:jc w:val="center"/>
      </w:pPr>
      <w:r>
        <w:t>Task: Continuous Hand Kinematic Regression (22 Joints)</w:t>
      </w:r>
    </w:p>
    <w:p w:rsidR="001C3AC5" w:rsidRDefault="004D439F">
      <w:pPr>
        <w:jc w:val="center"/>
      </w:pPr>
      <w:r>
        <w:t xml:space="preserve">Models: Random Forest </w:t>
      </w:r>
      <w:r>
        <w:t>Baseline | CNN Baseline</w:t>
      </w:r>
    </w:p>
    <w:p w:rsidR="001C3AC5" w:rsidRDefault="004D439F">
      <w:r>
        <w:br w:type="page"/>
      </w:r>
    </w:p>
    <w:p w:rsidR="001C3AC5" w:rsidRDefault="004D439F">
      <w:pPr>
        <w:pStyle w:val="Heading1"/>
      </w:pPr>
      <w:r>
        <w:rPr>
          <w:color w:val="1F497D"/>
        </w:rPr>
        <w:lastRenderedPageBreak/>
        <w:t>Abstract</w:t>
      </w:r>
    </w:p>
    <w:p w:rsidR="001C3AC5" w:rsidRDefault="004D439F">
      <w:pPr>
        <w:spacing w:after="120"/>
      </w:pPr>
      <w:r>
        <w:t xml:space="preserve">This report presents a machine learning pipeline for predicting continuous hand joint kinematics from surface electromyography (sEMG) signals, with the goal of improving myoelectric prosthesis control. Using the </w:t>
      </w:r>
      <w:proofErr w:type="spellStart"/>
      <w:r>
        <w:t>NinaPro</w:t>
      </w:r>
      <w:proofErr w:type="spellEnd"/>
      <w:r>
        <w:t xml:space="preserve"> D</w:t>
      </w:r>
      <w:r>
        <w:t xml:space="preserve">B2 dataset </w:t>
      </w:r>
      <w:r>
        <w:t xml:space="preserve">comprising 12-channel </w:t>
      </w:r>
      <w:proofErr w:type="spellStart"/>
      <w:r>
        <w:t>sEMG</w:t>
      </w:r>
      <w:proofErr w:type="spellEnd"/>
      <w:r>
        <w:t xml:space="preserve"> recordings and 22-sensor </w:t>
      </w:r>
      <w:proofErr w:type="spellStart"/>
      <w:r w:rsidR="006904D3">
        <w:t>C</w:t>
      </w:r>
      <w:r>
        <w:t>yberglove</w:t>
      </w:r>
      <w:proofErr w:type="spellEnd"/>
      <w:r>
        <w:t xml:space="preserve"> joint angles from 19 subjects</w:t>
      </w:r>
      <w:r w:rsidR="006904D3">
        <w:t>,</w:t>
      </w:r>
      <w:r>
        <w:t xml:space="preserve"> two baseline models are developed and evaluated: a classical Random Forest (RF) regressor using hand-engineered time-domain features, and a Convolut</w:t>
      </w:r>
      <w:r>
        <w:t xml:space="preserve">ional Neural Network (CNN) operating directly on raw EMG windows. The pipeline includes a synthetic EMG simulation module for data augmentation and robustness testing. Results show that the RF achieves a mean R² of approximately 0.619 and </w:t>
      </w:r>
      <w:r w:rsidR="006904D3">
        <w:t xml:space="preserve">an </w:t>
      </w:r>
      <w:r>
        <w:t xml:space="preserve">RMSE of 16.3° on </w:t>
      </w:r>
      <w:r>
        <w:t>the pooled all-subject test set, while the CNN reaches comparable performance after 100 training epochs. Robustness analysis demonstrates that both models degrade significantly at SNR below 10 dB. Inter-subject generalisation is identified as the primary o</w:t>
      </w:r>
      <w:r>
        <w:t>pen challenge.</w:t>
      </w:r>
    </w:p>
    <w:p w:rsidR="001C3AC5" w:rsidRDefault="004D439F">
      <w:pPr>
        <w:pStyle w:val="Heading1"/>
      </w:pPr>
      <w:r>
        <w:rPr>
          <w:color w:val="1F497D"/>
        </w:rPr>
        <w:t>1. Introduction</w:t>
      </w:r>
    </w:p>
    <w:p w:rsidR="001C3AC5" w:rsidRDefault="004D439F">
      <w:pPr>
        <w:spacing w:after="120"/>
      </w:pPr>
      <w:r>
        <w:t>Upper limb amputation affects millions of people worldwide, severely limiting independence and quality of life. Myoelectric prosthetic hands</w:t>
      </w:r>
      <w:r>
        <w:t xml:space="preserve"> controlled by electrical signals from residual forearm muscles </w:t>
      </w:r>
      <w:r>
        <w:t>offer a promising</w:t>
      </w:r>
      <w:r>
        <w:t xml:space="preserve"> solution, but current devices largely rely on simple classification of discrete grip patterns rather than continuous, proportional control of individual finger joints.</w:t>
      </w:r>
    </w:p>
    <w:p w:rsidR="001C3AC5" w:rsidRDefault="004D439F">
      <w:pPr>
        <w:spacing w:after="120"/>
      </w:pPr>
      <w:r>
        <w:t>Surface electromyography (sEMG) records the superimposed electrical activity of many mo</w:t>
      </w:r>
      <w:r>
        <w:t>tor units through skin-surface electrodes. Decoding the relationship between muscle activation patterns and intended hand kinematics is a fundamentally challenging regression problem: the mapping is nonlinear, non-stationary, and highly variable across ind</w:t>
      </w:r>
      <w:r>
        <w:t>ividuals and sessions.</w:t>
      </w:r>
    </w:p>
    <w:p w:rsidR="001C3AC5" w:rsidRDefault="004D439F">
      <w:pPr>
        <w:spacing w:after="120"/>
      </w:pPr>
      <w:r>
        <w:t xml:space="preserve">This project investigates two complementary approaches to this regression problem on the NinaPro DB2 benchmark dataset: (1) a classical Random Forest baseline using established time-domain features, and (2) a 1D Convolutional Neural </w:t>
      </w:r>
      <w:r>
        <w:t>Network that learns representations directly from raw EMG windows. A synthetic EMG simulation module is also developed to support data augmentation and controlled robustness testing across a range of noise conditions.</w:t>
      </w:r>
    </w:p>
    <w:p w:rsidR="001C3AC5" w:rsidRDefault="004D439F">
      <w:pPr>
        <w:pStyle w:val="Heading1"/>
      </w:pPr>
      <w:r>
        <w:rPr>
          <w:color w:val="1F497D"/>
        </w:rPr>
        <w:t>2. Dataset — NinaPro DB2</w:t>
      </w:r>
    </w:p>
    <w:p w:rsidR="001C3AC5" w:rsidRDefault="004D439F">
      <w:pPr>
        <w:spacing w:after="120"/>
      </w:pPr>
      <w:r>
        <w:t>The Non-Invas</w:t>
      </w:r>
      <w:r>
        <w:t>ive Adaptive Prosthetics (NinaPro) Database 2 (DB2) is a publicly available benchmark for myoelectric hand prosthesis research. Key properties are summarised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1C3AC5">
        <w:tc>
          <w:tcPr>
            <w:tcW w:w="4561" w:type="dxa"/>
            <w:shd w:val="clear" w:color="auto" w:fill="D9E1F2"/>
          </w:tcPr>
          <w:p w:rsidR="001C3AC5" w:rsidRDefault="004D439F">
            <w:r>
              <w:rPr>
                <w:b/>
                <w:sz w:val="20"/>
              </w:rPr>
              <w:t>Property</w:t>
            </w:r>
          </w:p>
        </w:tc>
        <w:tc>
          <w:tcPr>
            <w:tcW w:w="4561" w:type="dxa"/>
            <w:shd w:val="clear" w:color="auto" w:fill="D9E1F2"/>
          </w:tcPr>
          <w:p w:rsidR="001C3AC5" w:rsidRDefault="004D439F">
            <w:r>
              <w:rPr>
                <w:b/>
                <w:sz w:val="20"/>
              </w:rPr>
              <w:t>Value</w:t>
            </w:r>
          </w:p>
        </w:tc>
      </w:tr>
      <w:tr w:rsidR="001C3AC5">
        <w:tc>
          <w:tcPr>
            <w:tcW w:w="4561" w:type="dxa"/>
          </w:tcPr>
          <w:p w:rsidR="001C3AC5" w:rsidRDefault="004D439F">
            <w:r>
              <w:rPr>
                <w:sz w:val="20"/>
              </w:rPr>
              <w:t>Subjects</w:t>
            </w:r>
          </w:p>
        </w:tc>
        <w:tc>
          <w:tcPr>
            <w:tcW w:w="4561" w:type="dxa"/>
          </w:tcPr>
          <w:p w:rsidR="001C3AC5" w:rsidRDefault="004D439F">
            <w:r>
              <w:rPr>
                <w:sz w:val="20"/>
              </w:rPr>
              <w:t>40</w:t>
            </w:r>
            <w:r>
              <w:rPr>
                <w:sz w:val="20"/>
              </w:rPr>
              <w:t xml:space="preserve"> total; 19 used (DB2-compatible, 12-channel)</w:t>
            </w:r>
          </w:p>
        </w:tc>
      </w:tr>
      <w:tr w:rsidR="001C3AC5">
        <w:tc>
          <w:tcPr>
            <w:tcW w:w="4561" w:type="dxa"/>
          </w:tcPr>
          <w:p w:rsidR="001C3AC5" w:rsidRDefault="004D439F">
            <w:r>
              <w:rPr>
                <w:sz w:val="20"/>
              </w:rPr>
              <w:t>EMG channels</w:t>
            </w:r>
          </w:p>
        </w:tc>
        <w:tc>
          <w:tcPr>
            <w:tcW w:w="4561" w:type="dxa"/>
          </w:tcPr>
          <w:p w:rsidR="001C3AC5" w:rsidRDefault="004D439F">
            <w:r>
              <w:rPr>
                <w:sz w:val="20"/>
              </w:rPr>
              <w:t xml:space="preserve">12 </w:t>
            </w:r>
            <w:r>
              <w:rPr>
                <w:sz w:val="20"/>
              </w:rPr>
              <w:t>surface electrodes on the forearm</w:t>
            </w:r>
          </w:p>
        </w:tc>
      </w:tr>
      <w:tr w:rsidR="001C3AC5">
        <w:tc>
          <w:tcPr>
            <w:tcW w:w="4561" w:type="dxa"/>
          </w:tcPr>
          <w:p w:rsidR="001C3AC5" w:rsidRDefault="004D439F">
            <w:r>
              <w:rPr>
                <w:sz w:val="20"/>
              </w:rPr>
              <w:t>Sampling rate</w:t>
            </w:r>
          </w:p>
        </w:tc>
        <w:tc>
          <w:tcPr>
            <w:tcW w:w="4561" w:type="dxa"/>
          </w:tcPr>
          <w:p w:rsidR="001C3AC5" w:rsidRDefault="004D439F">
            <w:r>
              <w:rPr>
                <w:sz w:val="20"/>
              </w:rPr>
              <w:t>2,000 Hz</w:t>
            </w:r>
          </w:p>
        </w:tc>
      </w:tr>
      <w:tr w:rsidR="001C3AC5">
        <w:tc>
          <w:tcPr>
            <w:tcW w:w="4561" w:type="dxa"/>
          </w:tcPr>
          <w:p w:rsidR="001C3AC5" w:rsidRDefault="004D439F">
            <w:r>
              <w:rPr>
                <w:sz w:val="20"/>
              </w:rPr>
              <w:t>Kinematics</w:t>
            </w:r>
          </w:p>
        </w:tc>
        <w:tc>
          <w:tcPr>
            <w:tcW w:w="4561" w:type="dxa"/>
          </w:tcPr>
          <w:p w:rsidR="001C3AC5" w:rsidRDefault="004D439F">
            <w:r>
              <w:rPr>
                <w:sz w:val="20"/>
              </w:rPr>
              <w:t>22 cyberglove joint angles (degrees)</w:t>
            </w:r>
          </w:p>
        </w:tc>
      </w:tr>
      <w:tr w:rsidR="001C3AC5">
        <w:tc>
          <w:tcPr>
            <w:tcW w:w="4561" w:type="dxa"/>
          </w:tcPr>
          <w:p w:rsidR="001C3AC5" w:rsidRDefault="004D439F">
            <w:r>
              <w:rPr>
                <w:sz w:val="20"/>
              </w:rPr>
              <w:t>Exercises</w:t>
            </w:r>
          </w:p>
        </w:tc>
        <w:tc>
          <w:tcPr>
            <w:tcW w:w="4561" w:type="dxa"/>
          </w:tcPr>
          <w:p w:rsidR="001C3AC5" w:rsidRDefault="004D439F">
            <w:r>
              <w:rPr>
                <w:sz w:val="20"/>
              </w:rPr>
              <w:t>E1: basic finger movements; E2: wrist/forearm; E3: grasps (no glove)</w:t>
            </w:r>
          </w:p>
        </w:tc>
      </w:tr>
      <w:tr w:rsidR="001C3AC5">
        <w:tc>
          <w:tcPr>
            <w:tcW w:w="4561" w:type="dxa"/>
          </w:tcPr>
          <w:p w:rsidR="001C3AC5" w:rsidRDefault="004D439F">
            <w:r>
              <w:rPr>
                <w:sz w:val="20"/>
              </w:rPr>
              <w:t>Repetitions per movement</w:t>
            </w:r>
          </w:p>
        </w:tc>
        <w:tc>
          <w:tcPr>
            <w:tcW w:w="4561" w:type="dxa"/>
          </w:tcPr>
          <w:p w:rsidR="001C3AC5" w:rsidRDefault="004D439F">
            <w:r>
              <w:rPr>
                <w:sz w:val="20"/>
              </w:rPr>
              <w:t>6 per exercise (reps 1–4 train, reps 5–6 te</w:t>
            </w:r>
            <w:r>
              <w:rPr>
                <w:sz w:val="20"/>
              </w:rPr>
              <w:t>st)</w:t>
            </w:r>
          </w:p>
        </w:tc>
      </w:tr>
      <w:tr w:rsidR="001C3AC5">
        <w:tc>
          <w:tcPr>
            <w:tcW w:w="4561" w:type="dxa"/>
          </w:tcPr>
          <w:p w:rsidR="001C3AC5" w:rsidRDefault="004D439F">
            <w:r>
              <w:rPr>
                <w:sz w:val="20"/>
              </w:rPr>
              <w:t>Files used</w:t>
            </w:r>
          </w:p>
        </w:tc>
        <w:tc>
          <w:tcPr>
            <w:tcW w:w="4561" w:type="dxa"/>
          </w:tcPr>
          <w:p w:rsidR="001C3AC5" w:rsidRDefault="004D439F">
            <w:r>
              <w:rPr>
                <w:sz w:val="20"/>
              </w:rPr>
              <w:t>38 files (E1 + E2 for all 19 DB2 subjects); E3 excluded</w:t>
            </w:r>
          </w:p>
        </w:tc>
      </w:tr>
      <w:tr w:rsidR="001C3AC5">
        <w:tc>
          <w:tcPr>
            <w:tcW w:w="4561" w:type="dxa"/>
          </w:tcPr>
          <w:p w:rsidR="001C3AC5" w:rsidRDefault="004D439F">
            <w:r>
              <w:rPr>
                <w:sz w:val="20"/>
              </w:rPr>
              <w:t>File format</w:t>
            </w:r>
          </w:p>
        </w:tc>
        <w:tc>
          <w:tcPr>
            <w:tcW w:w="4561" w:type="dxa"/>
          </w:tcPr>
          <w:p w:rsidR="001C3AC5" w:rsidRDefault="004D439F">
            <w:r>
              <w:rPr>
                <w:sz w:val="20"/>
              </w:rPr>
              <w:t>.mat (MATLAB</w:t>
            </w:r>
            <w:bookmarkStart w:id="0" w:name="_GoBack"/>
            <w:bookmarkEnd w:id="0"/>
            <w:r>
              <w:rPr>
                <w:sz w:val="20"/>
              </w:rPr>
              <w:t>), loaded via scipy.io.loadmat</w:t>
            </w:r>
          </w:p>
        </w:tc>
      </w:tr>
    </w:tbl>
    <w:p w:rsidR="001C3AC5" w:rsidRDefault="001C3AC5"/>
    <w:p w:rsidR="001C3AC5" w:rsidRDefault="004D439F">
      <w:pPr>
        <w:spacing w:after="120"/>
      </w:pPr>
      <w:r>
        <w:t xml:space="preserve">Subject S1 belongs to NinaPro DB1 (10 channels) and is automatically excluded by the channel-count guard in the data loader, </w:t>
      </w:r>
      <w:r>
        <w:t>ensuring only DB2-compatible 12-channel recordings are processed. Exercise 3 (E3) files lack cyberglove data and are similarly skipped.</w:t>
      </w:r>
    </w:p>
    <w:p w:rsidR="001C3AC5" w:rsidRDefault="004D439F">
      <w:pPr>
        <w:pStyle w:val="Heading1"/>
      </w:pPr>
      <w:r>
        <w:rPr>
          <w:color w:val="1F497D"/>
        </w:rPr>
        <w:t>3. Methodology</w:t>
      </w:r>
    </w:p>
    <w:p w:rsidR="001C3AC5" w:rsidRDefault="004D439F">
      <w:pPr>
        <w:pStyle w:val="Heading2"/>
      </w:pPr>
      <w:r>
        <w:rPr>
          <w:color w:val="1F497D"/>
        </w:rPr>
        <w:t>3.1 Signal Preprocessing</w:t>
      </w:r>
    </w:p>
    <w:p w:rsidR="001C3AC5" w:rsidRDefault="004D439F">
      <w:pPr>
        <w:spacing w:after="120"/>
      </w:pPr>
      <w:r>
        <w:t>All EMG signals are bandpass filtered (20–450 Hz, 4th-order Butterworth, zero-ph</w:t>
      </w:r>
      <w:r>
        <w:t>ase) to remove DC drift, low-frequency motion artefacts, and high-frequency noise while preserving the informative sEMG bandwidth. The Nyquist limit at 2 kHz sampling rate is 1,000 Hz, making 450 Hz a safe upper cutoff.</w:t>
      </w:r>
    </w:p>
    <w:p w:rsidR="001C3AC5" w:rsidRDefault="004D439F">
      <w:pPr>
        <w:spacing w:after="120"/>
      </w:pPr>
      <w:r>
        <w:t>Signals are then segmented into over</w:t>
      </w:r>
      <w:r>
        <w:t>lapping analysis windows. A 200 ms window with 50 ms stride (75% overlap) is used throughout, balancing temporal resolution against computational cost. Each window contains 400 samples × 12 channels.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1C3AC5">
        <w:tc>
          <w:tcPr>
            <w:tcW w:w="4561" w:type="dxa"/>
            <w:shd w:val="clear" w:color="auto" w:fill="D9E1F2"/>
          </w:tcPr>
          <w:p w:rsidR="001C3AC5" w:rsidRDefault="004D439F">
            <w:r>
              <w:rPr>
                <w:b/>
                <w:sz w:val="20"/>
              </w:rPr>
              <w:t>Parameter</w:t>
            </w:r>
          </w:p>
        </w:tc>
        <w:tc>
          <w:tcPr>
            <w:tcW w:w="4561" w:type="dxa"/>
            <w:shd w:val="clear" w:color="auto" w:fill="D9E1F2"/>
          </w:tcPr>
          <w:p w:rsidR="001C3AC5" w:rsidRDefault="004D439F">
            <w:r>
              <w:rPr>
                <w:b/>
                <w:sz w:val="20"/>
              </w:rPr>
              <w:t>Value</w:t>
            </w:r>
          </w:p>
        </w:tc>
      </w:tr>
      <w:tr w:rsidR="001C3AC5">
        <w:tc>
          <w:tcPr>
            <w:tcW w:w="4561" w:type="dxa"/>
          </w:tcPr>
          <w:p w:rsidR="001C3AC5" w:rsidRDefault="004D439F">
            <w:r>
              <w:rPr>
                <w:sz w:val="20"/>
              </w:rPr>
              <w:t>Sampling rate (FS)</w:t>
            </w:r>
          </w:p>
        </w:tc>
        <w:tc>
          <w:tcPr>
            <w:tcW w:w="4561" w:type="dxa"/>
          </w:tcPr>
          <w:p w:rsidR="001C3AC5" w:rsidRDefault="004D439F">
            <w:r>
              <w:rPr>
                <w:sz w:val="20"/>
              </w:rPr>
              <w:t>2,000 Hz</w:t>
            </w:r>
          </w:p>
        </w:tc>
      </w:tr>
      <w:tr w:rsidR="001C3AC5">
        <w:tc>
          <w:tcPr>
            <w:tcW w:w="4561" w:type="dxa"/>
          </w:tcPr>
          <w:p w:rsidR="001C3AC5" w:rsidRDefault="004D439F">
            <w:r>
              <w:rPr>
                <w:sz w:val="20"/>
              </w:rPr>
              <w:t>Bandpass l</w:t>
            </w:r>
            <w:r>
              <w:rPr>
                <w:sz w:val="20"/>
              </w:rPr>
              <w:t>ow</w:t>
            </w:r>
          </w:p>
        </w:tc>
        <w:tc>
          <w:tcPr>
            <w:tcW w:w="4561" w:type="dxa"/>
          </w:tcPr>
          <w:p w:rsidR="001C3AC5" w:rsidRDefault="004D439F">
            <w:r>
              <w:rPr>
                <w:sz w:val="20"/>
              </w:rPr>
              <w:t>20 Hz</w:t>
            </w:r>
          </w:p>
        </w:tc>
      </w:tr>
      <w:tr w:rsidR="001C3AC5">
        <w:tc>
          <w:tcPr>
            <w:tcW w:w="4561" w:type="dxa"/>
          </w:tcPr>
          <w:p w:rsidR="001C3AC5" w:rsidRDefault="004D439F">
            <w:r>
              <w:rPr>
                <w:sz w:val="20"/>
              </w:rPr>
              <w:t>Bandpass high</w:t>
            </w:r>
          </w:p>
        </w:tc>
        <w:tc>
          <w:tcPr>
            <w:tcW w:w="4561" w:type="dxa"/>
          </w:tcPr>
          <w:p w:rsidR="001C3AC5" w:rsidRDefault="004D439F">
            <w:r>
              <w:rPr>
                <w:sz w:val="20"/>
              </w:rPr>
              <w:t>450 Hz</w:t>
            </w:r>
          </w:p>
        </w:tc>
      </w:tr>
      <w:tr w:rsidR="001C3AC5">
        <w:tc>
          <w:tcPr>
            <w:tcW w:w="4561" w:type="dxa"/>
          </w:tcPr>
          <w:p w:rsidR="001C3AC5" w:rsidRDefault="004D439F">
            <w:r>
              <w:rPr>
                <w:sz w:val="20"/>
              </w:rPr>
              <w:t>Filter order</w:t>
            </w:r>
          </w:p>
        </w:tc>
        <w:tc>
          <w:tcPr>
            <w:tcW w:w="4561" w:type="dxa"/>
          </w:tcPr>
          <w:p w:rsidR="001C3AC5" w:rsidRDefault="004D439F">
            <w:r>
              <w:rPr>
                <w:sz w:val="20"/>
              </w:rPr>
              <w:t>4th-order Butterworth (zero-phase)</w:t>
            </w:r>
          </w:p>
        </w:tc>
      </w:tr>
      <w:tr w:rsidR="001C3AC5">
        <w:tc>
          <w:tcPr>
            <w:tcW w:w="4561" w:type="dxa"/>
          </w:tcPr>
          <w:p w:rsidR="001C3AC5" w:rsidRDefault="004D439F">
            <w:r>
              <w:rPr>
                <w:sz w:val="20"/>
              </w:rPr>
              <w:t>Window length (WINDOW_MS)</w:t>
            </w:r>
          </w:p>
        </w:tc>
        <w:tc>
          <w:tcPr>
            <w:tcW w:w="4561" w:type="dxa"/>
          </w:tcPr>
          <w:p w:rsidR="001C3AC5" w:rsidRDefault="004D439F">
            <w:r>
              <w:rPr>
                <w:sz w:val="20"/>
              </w:rPr>
              <w:t>200 ms  →  400 samples</w:t>
            </w:r>
          </w:p>
        </w:tc>
      </w:tr>
      <w:tr w:rsidR="001C3AC5">
        <w:tc>
          <w:tcPr>
            <w:tcW w:w="4561" w:type="dxa"/>
          </w:tcPr>
          <w:p w:rsidR="001C3AC5" w:rsidRDefault="004D439F">
            <w:r>
              <w:rPr>
                <w:sz w:val="20"/>
              </w:rPr>
              <w:t>Stride (STRIDE_MS)</w:t>
            </w:r>
          </w:p>
        </w:tc>
        <w:tc>
          <w:tcPr>
            <w:tcW w:w="4561" w:type="dxa"/>
          </w:tcPr>
          <w:p w:rsidR="001C3AC5" w:rsidRDefault="004D439F">
            <w:r>
              <w:rPr>
                <w:sz w:val="20"/>
              </w:rPr>
              <w:t>50 ms   →  100 samples</w:t>
            </w:r>
          </w:p>
        </w:tc>
      </w:tr>
      <w:tr w:rsidR="001C3AC5">
        <w:tc>
          <w:tcPr>
            <w:tcW w:w="4561" w:type="dxa"/>
          </w:tcPr>
          <w:p w:rsidR="001C3AC5" w:rsidRDefault="004D439F">
            <w:r>
              <w:rPr>
                <w:sz w:val="20"/>
              </w:rPr>
              <w:t>Overlap</w:t>
            </w:r>
          </w:p>
        </w:tc>
        <w:tc>
          <w:tcPr>
            <w:tcW w:w="4561" w:type="dxa"/>
          </w:tcPr>
          <w:p w:rsidR="001C3AC5" w:rsidRDefault="004D439F">
            <w:r>
              <w:rPr>
                <w:sz w:val="20"/>
              </w:rPr>
              <w:t>75%</w:t>
            </w:r>
          </w:p>
        </w:tc>
      </w:tr>
      <w:tr w:rsidR="001C3AC5">
        <w:tc>
          <w:tcPr>
            <w:tcW w:w="4561" w:type="dxa"/>
          </w:tcPr>
          <w:p w:rsidR="001C3AC5" w:rsidRDefault="004D439F">
            <w:r>
              <w:rPr>
                <w:sz w:val="20"/>
              </w:rPr>
              <w:t>Channels (N_CHANNELS)</w:t>
            </w:r>
          </w:p>
        </w:tc>
        <w:tc>
          <w:tcPr>
            <w:tcW w:w="4561" w:type="dxa"/>
          </w:tcPr>
          <w:p w:rsidR="001C3AC5" w:rsidRDefault="004D439F">
            <w:r>
              <w:rPr>
                <w:sz w:val="20"/>
              </w:rPr>
              <w:t>12</w:t>
            </w:r>
          </w:p>
        </w:tc>
      </w:tr>
      <w:tr w:rsidR="001C3AC5">
        <w:tc>
          <w:tcPr>
            <w:tcW w:w="4561" w:type="dxa"/>
          </w:tcPr>
          <w:p w:rsidR="001C3AC5" w:rsidRDefault="004D439F">
            <w:r>
              <w:rPr>
                <w:sz w:val="20"/>
              </w:rPr>
              <w:t>Joints (N_JOINTS)</w:t>
            </w:r>
          </w:p>
        </w:tc>
        <w:tc>
          <w:tcPr>
            <w:tcW w:w="4561" w:type="dxa"/>
          </w:tcPr>
          <w:p w:rsidR="001C3AC5" w:rsidRDefault="004D439F">
            <w:r>
              <w:rPr>
                <w:sz w:val="20"/>
              </w:rPr>
              <w:t>22</w:t>
            </w:r>
          </w:p>
        </w:tc>
      </w:tr>
    </w:tbl>
    <w:p w:rsidR="001C3AC5" w:rsidRDefault="001C3AC5"/>
    <w:p w:rsidR="001C3AC5" w:rsidRDefault="004D439F">
      <w:pPr>
        <w:pStyle w:val="Heading2"/>
      </w:pPr>
      <w:r>
        <w:rPr>
          <w:color w:val="1F497D"/>
        </w:rPr>
        <w:t xml:space="preserve">3.2 Synthetic EMG </w:t>
      </w:r>
      <w:r>
        <w:rPr>
          <w:color w:val="1F497D"/>
        </w:rPr>
        <w:t>Simulation Pipeline</w:t>
      </w:r>
    </w:p>
    <w:p w:rsidR="001C3AC5" w:rsidRDefault="004D439F">
      <w:pPr>
        <w:spacing w:after="120"/>
      </w:pPr>
      <w:r>
        <w:t>A statistical/phenomenological EMG simulation module is implemented for two purposes: (a) data augmentation — adding labelled synthetic windows alongside real NinaPro data, and (b) robustness testing — generating held-out sets at varyin</w:t>
      </w:r>
      <w:r>
        <w:t>g SNR levels to produce performance-vs-noise curves without additional recordings.</w:t>
      </w:r>
    </w:p>
    <w:p w:rsidR="001C3AC5" w:rsidRDefault="004D439F">
      <w:pPr>
        <w:spacing w:after="120"/>
      </w:pPr>
      <w:r>
        <w:t>The simulation follows a four-stage pipeline:</w:t>
      </w:r>
    </w:p>
    <w:p w:rsidR="001C3AC5" w:rsidRDefault="004D439F">
      <w:pPr>
        <w:pStyle w:val="ListBullet"/>
        <w:spacing w:after="60"/>
      </w:pPr>
      <w:r>
        <w:t>Step 1 — Activation envelope: A trapezoidal muscle-effort profile (ramp up → hold → ramp down) models the force envelope of a v</w:t>
      </w:r>
      <w:r>
        <w:t>oluntary contraction.</w:t>
      </w:r>
    </w:p>
    <w:p w:rsidR="001C3AC5" w:rsidRDefault="004D439F">
      <w:pPr>
        <w:pStyle w:val="ListBullet"/>
        <w:spacing w:after="60"/>
      </w:pPr>
      <w:r>
        <w:t>Step 2 — Burst EMG synthesis: NeuroKit2 generates burst-modulated EMG signals scaled by the activation envelope. Each channel uses independently randomised burst count (2–4) and duration (0.1–0.3 s).</w:t>
      </w:r>
    </w:p>
    <w:p w:rsidR="001C3AC5" w:rsidRDefault="004D439F">
      <w:pPr>
        <w:pStyle w:val="ListBullet"/>
        <w:spacing w:after="60"/>
      </w:pPr>
      <w:r>
        <w:t xml:space="preserve">Step 3 — Noise injection: Four </w:t>
      </w:r>
      <w:r>
        <w:t>artefact types are superimposed — Gaussian noise (target SNR dB), 50 Hz powerline hum, baseline wander (0.3 Hz sinusoid), and transient motion artefacts (random amplitude spikes with exponential decay).</w:t>
      </w:r>
    </w:p>
    <w:p w:rsidR="001C3AC5" w:rsidRDefault="004D439F">
      <w:pPr>
        <w:pStyle w:val="ListBullet"/>
        <w:spacing w:after="60"/>
      </w:pPr>
      <w:r>
        <w:lastRenderedPageBreak/>
        <w:t>Step 4 — Bandpass filtering &amp; windowing: The contamin</w:t>
      </w:r>
      <w:r>
        <w:t>ated signal is passed through the same 20–450 Hz filter used for real data, then segmented into 200 ms windows.</w:t>
      </w:r>
    </w:p>
    <w:p w:rsidR="001C3AC5" w:rsidRDefault="001C3AC5"/>
    <w:p w:rsidR="001C3AC5" w:rsidRDefault="004D439F">
      <w:pPr>
        <w:jc w:val="center"/>
      </w:pPr>
      <w:r>
        <w:rPr>
          <w:noProof/>
        </w:rPr>
        <w:drawing>
          <wp:inline distT="0" distB="0" distL="0" distR="0">
            <wp:extent cx="5303520" cy="36372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pipeline_stag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3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AC5" w:rsidRDefault="004D439F">
      <w:pPr>
        <w:spacing w:after="240"/>
        <w:jc w:val="center"/>
      </w:pPr>
      <w:r>
        <w:rPr>
          <w:i/>
          <w:sz w:val="18"/>
        </w:rPr>
        <w:t xml:space="preserve">Figure 1 — EMG Simulation Pipeline: activation envelope → synthetic burst EMG → noisy signal (SNR=15 dB) → bandpass-filtered output (Channel </w:t>
      </w:r>
      <w:r>
        <w:rPr>
          <w:i/>
          <w:sz w:val="18"/>
        </w:rPr>
        <w:t>1 shown).</w:t>
      </w:r>
    </w:p>
    <w:p w:rsidR="001C3AC5" w:rsidRDefault="004D439F">
      <w:pPr>
        <w:jc w:val="center"/>
      </w:pPr>
      <w:r>
        <w:rPr>
          <w:noProof/>
        </w:rPr>
        <w:lastRenderedPageBreak/>
        <w:drawing>
          <wp:inline distT="0" distB="0" distL="0" distR="0">
            <wp:extent cx="5303520" cy="56490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all_channel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649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AC5" w:rsidRDefault="004D439F">
      <w:pPr>
        <w:spacing w:after="240"/>
        <w:jc w:val="center"/>
      </w:pPr>
      <w:r>
        <w:rPr>
          <w:i/>
          <w:sz w:val="18"/>
        </w:rPr>
        <w:t>Figure 2 — All 12 simulated EMG channels after bandpass filtering (SNR = 20 dB). Each channel exhibits independent burst timing and amplitude variation.</w:t>
      </w:r>
    </w:p>
    <w:p w:rsidR="001C3AC5" w:rsidRDefault="004D439F">
      <w:pPr>
        <w:jc w:val="center"/>
      </w:pPr>
      <w:r>
        <w:rPr>
          <w:noProof/>
        </w:rPr>
        <w:lastRenderedPageBreak/>
        <w:drawing>
          <wp:inline distT="0" distB="0" distL="0" distR="0">
            <wp:extent cx="5303520" cy="363160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snr_comparis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3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AC5" w:rsidRDefault="004D439F">
      <w:pPr>
        <w:spacing w:after="240"/>
        <w:jc w:val="center"/>
      </w:pPr>
      <w:r>
        <w:rPr>
          <w:i/>
          <w:sz w:val="18"/>
        </w:rPr>
        <w:t xml:space="preserve">Figure 3 — Effect of noise level on simulated EMG (Channel 1). At SNR = −5 dB the signal </w:t>
      </w:r>
      <w:r>
        <w:rPr>
          <w:i/>
          <w:sz w:val="18"/>
        </w:rPr>
        <w:t>is completely obscured by noise.</w:t>
      </w:r>
    </w:p>
    <w:p w:rsidR="001C3AC5" w:rsidRDefault="004D439F">
      <w:pPr>
        <w:pStyle w:val="Heading2"/>
      </w:pPr>
      <w:r>
        <w:rPr>
          <w:color w:val="1F497D"/>
        </w:rPr>
        <w:t>3.3 Feature Extraction (Random Forest Input)</w:t>
      </w:r>
    </w:p>
    <w:p w:rsidR="001C3AC5" w:rsidRDefault="004D439F">
      <w:pPr>
        <w:spacing w:after="120"/>
      </w:pPr>
      <w:r>
        <w:t>For the Random Forest baseline, five time-domain features are computed per channel per window, producing a 60-dimensional feature vector (12 channels × 5 features):</w:t>
      </w:r>
    </w:p>
    <w:p w:rsidR="001C3AC5" w:rsidRDefault="004D439F">
      <w:pPr>
        <w:pStyle w:val="ListBullet"/>
        <w:spacing w:after="60"/>
      </w:pPr>
      <w:r>
        <w:t>Root Mean Squ</w:t>
      </w:r>
      <w:r>
        <w:t>are (RMS) — signal energy</w:t>
      </w:r>
      <w:r w:rsidR="006904D3">
        <w:t>/</w:t>
      </w:r>
      <w:r>
        <w:t>muscle activation level</w:t>
      </w:r>
    </w:p>
    <w:p w:rsidR="001C3AC5" w:rsidRDefault="004D439F">
      <w:pPr>
        <w:pStyle w:val="ListBullet"/>
        <w:spacing w:after="60"/>
      </w:pPr>
      <w:r>
        <w:t>Mean Absolute Value (MAV) — average rectified amplitude</w:t>
      </w:r>
    </w:p>
    <w:p w:rsidR="001C3AC5" w:rsidRDefault="004D439F">
      <w:pPr>
        <w:pStyle w:val="ListBullet"/>
        <w:spacing w:after="60"/>
      </w:pPr>
      <w:r>
        <w:t>Zero Crossings (ZC) — number of times the signal crosses zero (frequency proxy)</w:t>
      </w:r>
    </w:p>
    <w:p w:rsidR="001C3AC5" w:rsidRDefault="004D439F">
      <w:pPr>
        <w:pStyle w:val="ListBullet"/>
        <w:spacing w:after="60"/>
      </w:pPr>
      <w:r>
        <w:t>Slope Sign Changes (SSC) — infle</w:t>
      </w:r>
      <w:r w:rsidR="006904D3">
        <w:t>x</w:t>
      </w:r>
      <w:r>
        <w:t xml:space="preserve">ion count in the first derivative </w:t>
      </w:r>
      <w:r>
        <w:t>(frequency proxy)</w:t>
      </w:r>
    </w:p>
    <w:p w:rsidR="001C3AC5" w:rsidRDefault="004D439F">
      <w:pPr>
        <w:pStyle w:val="ListBullet"/>
        <w:spacing w:after="60"/>
      </w:pPr>
      <w:r>
        <w:t>Waveform Length (WL) — cumulative arc length of the signal (amplitude + frequency)</w:t>
      </w:r>
    </w:p>
    <w:p w:rsidR="001C3AC5" w:rsidRDefault="004D439F">
      <w:pPr>
        <w:spacing w:after="120"/>
      </w:pPr>
      <w:r>
        <w:t>These features are well-established in the EMG pattern recognition literature (Phinyomark et al., 2012) and computationally efficient for real-time deploym</w:t>
      </w:r>
      <w:r>
        <w:t>ent.</w:t>
      </w:r>
    </w:p>
    <w:p w:rsidR="001C3AC5" w:rsidRDefault="004D439F">
      <w:pPr>
        <w:jc w:val="center"/>
      </w:pPr>
      <w:r>
        <w:rPr>
          <w:noProof/>
        </w:rPr>
        <w:lastRenderedPageBreak/>
        <w:drawing>
          <wp:inline distT="0" distB="0" distL="0" distR="0">
            <wp:extent cx="5303520" cy="411431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feature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1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AC5" w:rsidRDefault="004D439F">
      <w:pPr>
        <w:spacing w:after="240"/>
        <w:jc w:val="center"/>
      </w:pPr>
      <w:r>
        <w:rPr>
          <w:i/>
          <w:sz w:val="18"/>
        </w:rPr>
        <w:t>Figure 4 — Mean normalised feature values per channel. RMS and MAV are highly correlated across channels, while ZC and SSC show greater inter-channel variation.</w:t>
      </w:r>
    </w:p>
    <w:p w:rsidR="001C3AC5" w:rsidRDefault="004D439F">
      <w:pPr>
        <w:pStyle w:val="Heading2"/>
      </w:pPr>
      <w:r>
        <w:rPr>
          <w:color w:val="1F497D"/>
        </w:rPr>
        <w:t>3.4 Train / Test Split</w:t>
      </w:r>
    </w:p>
    <w:p w:rsidR="001C3AC5" w:rsidRDefault="004D439F">
      <w:pPr>
        <w:spacing w:after="120"/>
      </w:pPr>
      <w:r>
        <w:t>Data is split by repetition number to prevent temporal leakage: r</w:t>
      </w:r>
      <w:r>
        <w:t>epetitions 1–4 form the training set and repetitions 5–6 form the test set. This strictly separates movement instances in time and reflects how models would be evaluated in practice</w:t>
      </w:r>
      <w:r w:rsidR="006904D3">
        <w:t>,</w:t>
      </w:r>
      <w:r>
        <w:t xml:space="preserve"> trained on earlier sessions, tested on later ones. Random shuffling acro</w:t>
      </w:r>
      <w:r>
        <w:t>ss time would cause data leakage and inflate results.</w:t>
      </w:r>
    </w:p>
    <w:p w:rsidR="001C3AC5" w:rsidRDefault="004D439F">
      <w:pPr>
        <w:pStyle w:val="Heading2"/>
      </w:pPr>
      <w:r>
        <w:rPr>
          <w:color w:val="1F497D"/>
        </w:rPr>
        <w:t>3.5 Random Forest Regressor</w:t>
      </w:r>
    </w:p>
    <w:p w:rsidR="001C3AC5" w:rsidRDefault="004D439F">
      <w:pPr>
        <w:spacing w:after="120"/>
      </w:pPr>
      <w:r>
        <w:t>A multi-output Random Forest Regressor (scikit-learn) with 500 trees (n_estimators=500) and parallel training (n_jobs=−1) is trained to simultaneously predict all 22 joint an</w:t>
      </w:r>
      <w:r>
        <w:t>gles from the 60-dimensional feature vector. Random Forests are chosen as the classical baseline because they: (1) handle multivariate targets natively, (2) are robust to correlated features, (3) require no feature scaling, and (4) are interpretable via fe</w:t>
      </w:r>
      <w:r>
        <w:t>ature importance.</w:t>
      </w:r>
    </w:p>
    <w:p w:rsidR="001C3AC5" w:rsidRDefault="004D439F">
      <w:pPr>
        <w:spacing w:after="120"/>
      </w:pPr>
      <w:r>
        <w:t>Per-subject z-score normalisation of the EMG (zero mean, unit variance per channel) is applied before feature extraction to reduce inter-subject amplitude variability. Both E1 and E2 files are loaded, roughly doubling the training data ve</w:t>
      </w:r>
      <w:r>
        <w:t>rsus E1 alone.</w:t>
      </w:r>
    </w:p>
    <w:p w:rsidR="001C3AC5" w:rsidRDefault="004D439F">
      <w:pPr>
        <w:pStyle w:val="Heading2"/>
      </w:pPr>
      <w:r>
        <w:rPr>
          <w:color w:val="1F497D"/>
        </w:rPr>
        <w:lastRenderedPageBreak/>
        <w:t>3.6 CNN Architecture</w:t>
      </w:r>
    </w:p>
    <w:p w:rsidR="001C3AC5" w:rsidRDefault="004D439F">
      <w:pPr>
        <w:spacing w:after="120"/>
      </w:pPr>
      <w:r>
        <w:t>The CNN baseline takes raw 400×12 EMG windows as input</w:t>
      </w:r>
      <w:r>
        <w:t xml:space="preserve"> no hand-crafted features</w:t>
      </w:r>
      <w:r w:rsidR="006904D3">
        <w:t>,</w:t>
      </w:r>
      <w:r>
        <w:t xml:space="preserve"> allowing the network to learn optimal temporal representations end-to-end. The architecture (~115K parameters) is:</w:t>
      </w:r>
    </w:p>
    <w:p w:rsidR="001C3AC5" w:rsidRDefault="004D439F">
      <w:pPr>
        <w:pStyle w:val="ListBullet"/>
        <w:spacing w:after="60"/>
      </w:pPr>
      <w:r>
        <w:t xml:space="preserve">Conv1d(12→64, k=7, </w:t>
      </w:r>
      <w:r>
        <w:t>pad=3) + BatchNorm + ReLU</w:t>
      </w:r>
    </w:p>
    <w:p w:rsidR="001C3AC5" w:rsidRDefault="004D439F">
      <w:pPr>
        <w:pStyle w:val="ListBullet"/>
        <w:spacing w:after="60"/>
      </w:pPr>
      <w:r>
        <w:t>Conv1d(64→128, k=5, pad=2) + BatchNorm + ReLU + MaxPool1d(2)</w:t>
      </w:r>
    </w:p>
    <w:p w:rsidR="001C3AC5" w:rsidRDefault="004D439F">
      <w:pPr>
        <w:pStyle w:val="ListBullet"/>
        <w:spacing w:after="60"/>
      </w:pPr>
      <w:r>
        <w:t>Conv1d(128→128, k=3, pad=1) + BatchNorm + ReLU</w:t>
      </w:r>
    </w:p>
    <w:p w:rsidR="001C3AC5" w:rsidRDefault="004D439F">
      <w:pPr>
        <w:pStyle w:val="ListBullet"/>
        <w:spacing w:after="60"/>
      </w:pPr>
      <w:r>
        <w:t>AdaptiveAvgPool1d(1)  →  global average pooling to (batch, 128)</w:t>
      </w:r>
    </w:p>
    <w:p w:rsidR="001C3AC5" w:rsidRDefault="004D439F">
      <w:pPr>
        <w:pStyle w:val="ListBullet"/>
        <w:spacing w:after="60"/>
      </w:pPr>
      <w:r>
        <w:t>Linear(128→128) + ReLU + Dropout(0.2)</w:t>
      </w:r>
    </w:p>
    <w:p w:rsidR="001C3AC5" w:rsidRDefault="004D439F">
      <w:pPr>
        <w:pStyle w:val="ListBullet"/>
        <w:spacing w:after="60"/>
      </w:pPr>
      <w:r>
        <w:t>Linear(128→22)  →  2</w:t>
      </w:r>
      <w:r>
        <w:t>2 joint angle predictions</w:t>
      </w:r>
    </w:p>
    <w:p w:rsidR="001C3AC5" w:rsidRDefault="004D439F">
      <w:pPr>
        <w:spacing w:after="120"/>
      </w:pPr>
      <w:r>
        <w:t>Training uses Adam optimiser (lr=1e-3, weight_decay=1e-4) with ReduceLROnPlateau scheduling (factor=0.5, patience=8, min_lr=1e-5) and MSE loss over 100 epochs (batch size 64). Input windows are z-score normalised using training-se</w:t>
      </w:r>
      <w:r>
        <w:t>t statistics only (no leakage). All E1 + E2 files across all 19 subjects are used.</w:t>
      </w:r>
    </w:p>
    <w:p w:rsidR="001C3AC5" w:rsidRDefault="004D439F">
      <w:pPr>
        <w:pStyle w:val="Heading1"/>
      </w:pPr>
      <w:r>
        <w:rPr>
          <w:color w:val="1F497D"/>
        </w:rPr>
        <w:t>4. Results</w:t>
      </w:r>
    </w:p>
    <w:p w:rsidR="001C3AC5" w:rsidRDefault="004D439F">
      <w:pPr>
        <w:pStyle w:val="Heading2"/>
      </w:pPr>
      <w:r>
        <w:rPr>
          <w:color w:val="1F497D"/>
        </w:rPr>
        <w:t>4.1 Random Forest Baseline</w:t>
      </w:r>
    </w:p>
    <w:p w:rsidR="001C3AC5" w:rsidRDefault="004D439F">
      <w:pPr>
        <w:spacing w:after="120"/>
      </w:pPr>
      <w:r>
        <w:t>The RF model is evaluated on the pooled test set (repetitions 5–6) across all 19 subjects. Mean performance across all 22 joints: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1C3AC5">
        <w:tc>
          <w:tcPr>
            <w:tcW w:w="3041" w:type="dxa"/>
            <w:shd w:val="clear" w:color="auto" w:fill="D9E1F2"/>
          </w:tcPr>
          <w:p w:rsidR="001C3AC5" w:rsidRDefault="004D439F">
            <w:r>
              <w:rPr>
                <w:b/>
                <w:sz w:val="20"/>
              </w:rPr>
              <w:t>Metri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3041" w:type="dxa"/>
            <w:shd w:val="clear" w:color="auto" w:fill="D9E1F2"/>
          </w:tcPr>
          <w:p w:rsidR="001C3AC5" w:rsidRDefault="004D439F">
            <w:r>
              <w:rPr>
                <w:b/>
                <w:sz w:val="20"/>
              </w:rPr>
              <w:t>Value</w:t>
            </w:r>
          </w:p>
        </w:tc>
        <w:tc>
          <w:tcPr>
            <w:tcW w:w="3041" w:type="dxa"/>
            <w:shd w:val="clear" w:color="auto" w:fill="D9E1F2"/>
          </w:tcPr>
          <w:p w:rsidR="001C3AC5" w:rsidRDefault="004D439F">
            <w:r>
              <w:rPr>
                <w:b/>
                <w:sz w:val="20"/>
              </w:rPr>
              <w:t>Notes</w:t>
            </w:r>
          </w:p>
        </w:tc>
      </w:tr>
      <w:tr w:rsidR="001C3AC5">
        <w:tc>
          <w:tcPr>
            <w:tcW w:w="3041" w:type="dxa"/>
          </w:tcPr>
          <w:p w:rsidR="001C3AC5" w:rsidRDefault="004D439F">
            <w:r>
              <w:rPr>
                <w:sz w:val="20"/>
              </w:rPr>
              <w:t>Mean RMSE</w:t>
            </w:r>
          </w:p>
        </w:tc>
        <w:tc>
          <w:tcPr>
            <w:tcW w:w="3041" w:type="dxa"/>
          </w:tcPr>
          <w:p w:rsidR="001C3AC5" w:rsidRDefault="004D439F">
            <w:r>
              <w:rPr>
                <w:sz w:val="20"/>
              </w:rPr>
              <w:t>16.32°</w:t>
            </w:r>
          </w:p>
        </w:tc>
        <w:tc>
          <w:tcPr>
            <w:tcW w:w="3041" w:type="dxa"/>
          </w:tcPr>
          <w:p w:rsidR="001C3AC5" w:rsidRDefault="004D439F">
            <w:r>
              <w:rPr>
                <w:sz w:val="20"/>
              </w:rPr>
              <w:t>Average absolute prediction error across 22 joints</w:t>
            </w:r>
          </w:p>
        </w:tc>
      </w:tr>
      <w:tr w:rsidR="001C3AC5">
        <w:tc>
          <w:tcPr>
            <w:tcW w:w="3041" w:type="dxa"/>
          </w:tcPr>
          <w:p w:rsidR="001C3AC5" w:rsidRDefault="004D439F">
            <w:r>
              <w:rPr>
                <w:sz w:val="20"/>
              </w:rPr>
              <w:t>Mean R²</w:t>
            </w:r>
          </w:p>
        </w:tc>
        <w:tc>
          <w:tcPr>
            <w:tcW w:w="3041" w:type="dxa"/>
          </w:tcPr>
          <w:p w:rsidR="001C3AC5" w:rsidRDefault="004D439F">
            <w:r>
              <w:rPr>
                <w:sz w:val="20"/>
              </w:rPr>
              <w:t>0.619</w:t>
            </w:r>
          </w:p>
        </w:tc>
        <w:tc>
          <w:tcPr>
            <w:tcW w:w="3041" w:type="dxa"/>
          </w:tcPr>
          <w:p w:rsidR="001C3AC5" w:rsidRDefault="004D439F">
            <w:r>
              <w:rPr>
                <w:sz w:val="20"/>
              </w:rPr>
              <w:t>Fraction of joint-angle variance explained by the model</w:t>
            </w:r>
          </w:p>
        </w:tc>
      </w:tr>
      <w:tr w:rsidR="001C3AC5">
        <w:tc>
          <w:tcPr>
            <w:tcW w:w="3041" w:type="dxa"/>
          </w:tcPr>
          <w:p w:rsidR="001C3AC5" w:rsidRDefault="004D439F">
            <w:r>
              <w:rPr>
                <w:sz w:val="20"/>
              </w:rPr>
              <w:t>Training data</w:t>
            </w:r>
          </w:p>
        </w:tc>
        <w:tc>
          <w:tcPr>
            <w:tcW w:w="3041" w:type="dxa"/>
          </w:tcPr>
          <w:p w:rsidR="001C3AC5" w:rsidRDefault="004D439F">
            <w:r>
              <w:rPr>
                <w:sz w:val="20"/>
              </w:rPr>
              <w:t>E1 + E2, reps 1–4, all 19 subjects</w:t>
            </w:r>
          </w:p>
        </w:tc>
        <w:tc>
          <w:tcPr>
            <w:tcW w:w="3041" w:type="dxa"/>
          </w:tcPr>
          <w:p w:rsidR="001C3AC5" w:rsidRDefault="004D439F">
            <w:r>
              <w:rPr>
                <w:sz w:val="20"/>
              </w:rPr>
              <w:t>~38 files pooled</w:t>
            </w:r>
          </w:p>
        </w:tc>
      </w:tr>
      <w:tr w:rsidR="001C3AC5">
        <w:tc>
          <w:tcPr>
            <w:tcW w:w="3041" w:type="dxa"/>
          </w:tcPr>
          <w:p w:rsidR="001C3AC5" w:rsidRDefault="004D439F">
            <w:r>
              <w:rPr>
                <w:sz w:val="20"/>
              </w:rPr>
              <w:t>Test data</w:t>
            </w:r>
          </w:p>
        </w:tc>
        <w:tc>
          <w:tcPr>
            <w:tcW w:w="3041" w:type="dxa"/>
          </w:tcPr>
          <w:p w:rsidR="001C3AC5" w:rsidRDefault="004D439F">
            <w:r>
              <w:rPr>
                <w:sz w:val="20"/>
              </w:rPr>
              <w:t xml:space="preserve">E1 + E2, reps 5–6, all </w:t>
            </w:r>
            <w:r>
              <w:rPr>
                <w:sz w:val="20"/>
              </w:rPr>
              <w:t>19 subjects</w:t>
            </w:r>
          </w:p>
        </w:tc>
        <w:tc>
          <w:tcPr>
            <w:tcW w:w="3041" w:type="dxa"/>
          </w:tcPr>
          <w:p w:rsidR="001C3AC5" w:rsidRDefault="004D439F">
            <w:r>
              <w:rPr>
                <w:sz w:val="20"/>
              </w:rPr>
              <w:t>Strictly held-out repetitions</w:t>
            </w:r>
          </w:p>
        </w:tc>
      </w:tr>
    </w:tbl>
    <w:p w:rsidR="001C3AC5" w:rsidRDefault="001C3AC5"/>
    <w:p w:rsidR="001C3AC5" w:rsidRDefault="004D439F">
      <w:pPr>
        <w:jc w:val="center"/>
      </w:pPr>
      <w:r>
        <w:rPr>
          <w:noProof/>
        </w:rPr>
        <w:lastRenderedPageBreak/>
        <w:drawing>
          <wp:inline distT="0" distB="0" distL="0" distR="0">
            <wp:extent cx="5303520" cy="283019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rf_per_joi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3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AC5" w:rsidRDefault="004D439F">
      <w:pPr>
        <w:spacing w:after="240"/>
        <w:jc w:val="center"/>
      </w:pPr>
      <w:r>
        <w:rPr>
          <w:i/>
          <w:sz w:val="18"/>
        </w:rPr>
        <w:t>Figure 5 — RF per-joint RMSE (top) and R² (bottom). Most joints achieve R² &gt; 0.5; a few wrist/thumb joints show higher error due to greater variability and weaker EMG coupling.</w:t>
      </w:r>
    </w:p>
    <w:p w:rsidR="001C3AC5" w:rsidRDefault="004D439F">
      <w:pPr>
        <w:pStyle w:val="Heading2"/>
      </w:pPr>
      <w:r>
        <w:rPr>
          <w:color w:val="1F497D"/>
        </w:rPr>
        <w:t>4.2 CNN Baseline</w:t>
      </w:r>
    </w:p>
    <w:p w:rsidR="001C3AC5" w:rsidRDefault="004D439F">
      <w:pPr>
        <w:spacing w:after="120"/>
      </w:pPr>
      <w:r>
        <w:t>The CNN is train</w:t>
      </w:r>
      <w:r>
        <w:t>ed for 100 epochs on normalised raw windows from all 19 subjects (E1 + E2). The learning rate scheduler reduces LR on plateau, allowing the network to converge from lr=1e-3 down to the minimum of 1e-5.</w:t>
      </w:r>
    </w:p>
    <w:p w:rsidR="001C3AC5" w:rsidRDefault="004D439F">
      <w:pPr>
        <w:jc w:val="center"/>
      </w:pPr>
      <w:r>
        <w:rPr>
          <w:noProof/>
        </w:rPr>
        <w:drawing>
          <wp:inline distT="0" distB="0" distL="0" distR="0">
            <wp:extent cx="5303520" cy="290440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_cnn_lo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AC5" w:rsidRDefault="004D439F">
      <w:pPr>
        <w:spacing w:after="240"/>
        <w:jc w:val="center"/>
      </w:pPr>
      <w:r>
        <w:rPr>
          <w:i/>
          <w:sz w:val="18"/>
        </w:rPr>
        <w:t>Figure 6 — CNN training loss and learning rate histo</w:t>
      </w:r>
      <w:r>
        <w:rPr>
          <w:i/>
          <w:sz w:val="18"/>
        </w:rPr>
        <w:t>ry over 100 epochs. Loss decreases steadily; LR reductions are visible as step drops in the lower panel.</w:t>
      </w:r>
    </w:p>
    <w:p w:rsidR="001C3AC5" w:rsidRDefault="004D439F">
      <w:pPr>
        <w:jc w:val="center"/>
      </w:pPr>
      <w:r>
        <w:rPr>
          <w:noProof/>
        </w:rPr>
        <w:lastRenderedPageBreak/>
        <w:drawing>
          <wp:inline distT="0" distB="0" distL="0" distR="0">
            <wp:extent cx="5303520" cy="283019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_cnn_per_joi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3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AC5" w:rsidRDefault="004D439F">
      <w:pPr>
        <w:spacing w:after="240"/>
        <w:jc w:val="center"/>
      </w:pPr>
      <w:r>
        <w:rPr>
          <w:i/>
          <w:sz w:val="18"/>
        </w:rPr>
        <w:t>Figure 7 — CNN per-joint RMSE (top) and R² (bottom). The pattern is similar to RF: distal finger joints tend to have lower error, while wrist/forearm</w:t>
      </w:r>
      <w:r>
        <w:rPr>
          <w:i/>
          <w:sz w:val="18"/>
        </w:rPr>
        <w:t xml:space="preserve"> joints show more variability.</w:t>
      </w:r>
    </w:p>
    <w:p w:rsidR="001C3AC5" w:rsidRDefault="004D439F">
      <w:pPr>
        <w:pStyle w:val="Heading2"/>
      </w:pPr>
      <w:r>
        <w:rPr>
          <w:color w:val="1F497D"/>
        </w:rPr>
        <w:t>4.3 RF vs CNN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1C3AC5">
        <w:tc>
          <w:tcPr>
            <w:tcW w:w="3041" w:type="dxa"/>
            <w:shd w:val="clear" w:color="auto" w:fill="D9E1F2"/>
          </w:tcPr>
          <w:p w:rsidR="001C3AC5" w:rsidRDefault="004D439F">
            <w:r>
              <w:rPr>
                <w:b/>
                <w:sz w:val="20"/>
              </w:rPr>
              <w:t>Model</w:t>
            </w:r>
          </w:p>
        </w:tc>
        <w:tc>
          <w:tcPr>
            <w:tcW w:w="3041" w:type="dxa"/>
            <w:shd w:val="clear" w:color="auto" w:fill="D9E1F2"/>
          </w:tcPr>
          <w:p w:rsidR="001C3AC5" w:rsidRDefault="004D439F">
            <w:r>
              <w:rPr>
                <w:b/>
                <w:sz w:val="20"/>
              </w:rPr>
              <w:t>Mean RMSE (°)</w:t>
            </w:r>
          </w:p>
        </w:tc>
        <w:tc>
          <w:tcPr>
            <w:tcW w:w="3041" w:type="dxa"/>
            <w:shd w:val="clear" w:color="auto" w:fill="D9E1F2"/>
          </w:tcPr>
          <w:p w:rsidR="001C3AC5" w:rsidRDefault="004D439F">
            <w:r>
              <w:rPr>
                <w:b/>
                <w:sz w:val="20"/>
              </w:rPr>
              <w:t>Mean R²</w:t>
            </w:r>
          </w:p>
        </w:tc>
      </w:tr>
      <w:tr w:rsidR="001C3AC5">
        <w:tc>
          <w:tcPr>
            <w:tcW w:w="3041" w:type="dxa"/>
          </w:tcPr>
          <w:p w:rsidR="001C3AC5" w:rsidRDefault="004D439F">
            <w:r>
              <w:rPr>
                <w:sz w:val="20"/>
              </w:rPr>
              <w:t>Random Forest (500 trees, E1+E2)</w:t>
            </w:r>
          </w:p>
        </w:tc>
        <w:tc>
          <w:tcPr>
            <w:tcW w:w="3041" w:type="dxa"/>
          </w:tcPr>
          <w:p w:rsidR="001C3AC5" w:rsidRDefault="004D439F">
            <w:r>
              <w:rPr>
                <w:sz w:val="20"/>
              </w:rPr>
              <w:t>16.32</w:t>
            </w:r>
          </w:p>
        </w:tc>
        <w:tc>
          <w:tcPr>
            <w:tcW w:w="3041" w:type="dxa"/>
          </w:tcPr>
          <w:p w:rsidR="001C3AC5" w:rsidRDefault="004D439F">
            <w:r>
              <w:rPr>
                <w:sz w:val="20"/>
              </w:rPr>
              <w:t>0.619</w:t>
            </w:r>
          </w:p>
        </w:tc>
      </w:tr>
      <w:tr w:rsidR="001C3AC5">
        <w:tc>
          <w:tcPr>
            <w:tcW w:w="3041" w:type="dxa"/>
          </w:tcPr>
          <w:p w:rsidR="001C3AC5" w:rsidRDefault="004D439F">
            <w:r>
              <w:rPr>
                <w:sz w:val="20"/>
              </w:rPr>
              <w:t>CNN (100 epochs, E1+E2)</w:t>
            </w:r>
          </w:p>
        </w:tc>
        <w:tc>
          <w:tcPr>
            <w:tcW w:w="3041" w:type="dxa"/>
          </w:tcPr>
          <w:p w:rsidR="001C3AC5" w:rsidRDefault="004D439F">
            <w:r>
              <w:rPr>
                <w:sz w:val="20"/>
              </w:rPr>
              <w:t>See fig 7</w:t>
            </w:r>
          </w:p>
        </w:tc>
        <w:tc>
          <w:tcPr>
            <w:tcW w:w="3041" w:type="dxa"/>
          </w:tcPr>
          <w:p w:rsidR="001C3AC5" w:rsidRDefault="004D439F">
            <w:r>
              <w:rPr>
                <w:sz w:val="20"/>
              </w:rPr>
              <w:t>See fig 7</w:t>
            </w:r>
          </w:p>
        </w:tc>
      </w:tr>
    </w:tbl>
    <w:p w:rsidR="001C3AC5" w:rsidRDefault="001C3AC5"/>
    <w:p w:rsidR="001C3AC5" w:rsidRDefault="004D439F">
      <w:pPr>
        <w:jc w:val="center"/>
      </w:pPr>
      <w:r>
        <w:rPr>
          <w:noProof/>
        </w:rPr>
        <w:drawing>
          <wp:inline distT="0" distB="0" distL="0" distR="0">
            <wp:extent cx="5303520" cy="300074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8_rf_vs_cn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0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AC5" w:rsidRDefault="004D439F">
      <w:pPr>
        <w:spacing w:after="240"/>
        <w:jc w:val="center"/>
      </w:pPr>
      <w:r>
        <w:rPr>
          <w:i/>
          <w:sz w:val="18"/>
        </w:rPr>
        <w:t>Figure 8 — Side-by-side per-joint RMSE and R² for RF (red) vs CNN (blue). The</w:t>
      </w:r>
      <w:r>
        <w:rPr>
          <w:i/>
          <w:sz w:val="18"/>
        </w:rPr>
        <w:t xml:space="preserve"> models show complementary strengths across different joints.</w:t>
      </w:r>
    </w:p>
    <w:p w:rsidR="001C3AC5" w:rsidRDefault="004D439F">
      <w:pPr>
        <w:pStyle w:val="Heading2"/>
      </w:pPr>
      <w:r>
        <w:rPr>
          <w:color w:val="1F497D"/>
        </w:rPr>
        <w:lastRenderedPageBreak/>
        <w:t>4.4 Per-Subject Breakdown</w:t>
      </w:r>
    </w:p>
    <w:p w:rsidR="001C3AC5" w:rsidRDefault="004D439F">
      <w:pPr>
        <w:spacing w:after="120"/>
      </w:pPr>
      <w:r>
        <w:t>The pooled RF model is evaluated separately on each subject's test repetitions to reveal which subjects are harder to predict. This highlights inter-subject variability</w:t>
      </w:r>
      <w:r w:rsidR="006904D3">
        <w:t>,</w:t>
      </w:r>
      <w:r>
        <w:t xml:space="preserve"> a key challenge for generalised prosthesis control.</w:t>
      </w:r>
    </w:p>
    <w:p w:rsidR="001C3AC5" w:rsidRDefault="004D439F">
      <w:pPr>
        <w:jc w:val="center"/>
      </w:pPr>
      <w:r>
        <w:rPr>
          <w:noProof/>
        </w:rPr>
        <w:drawing>
          <wp:inline distT="0" distB="0" distL="0" distR="0">
            <wp:extent cx="5303520" cy="26123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9_multisubject_r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AC5" w:rsidRDefault="004D439F">
      <w:pPr>
        <w:spacing w:after="240"/>
        <w:jc w:val="center"/>
      </w:pPr>
      <w:r>
        <w:rPr>
          <w:i/>
          <w:sz w:val="18"/>
        </w:rPr>
        <w:t>Figure 9 — Per-subject mean R² from the pooled RF model evaluated on each subject's test reps. Variability across subjects reflects differences in electrode placement, muscle anatomy, and movement ex</w:t>
      </w:r>
      <w:r>
        <w:rPr>
          <w:i/>
          <w:sz w:val="18"/>
        </w:rPr>
        <w:t>ecution.</w:t>
      </w:r>
    </w:p>
    <w:p w:rsidR="001C3AC5" w:rsidRDefault="004D439F">
      <w:pPr>
        <w:pStyle w:val="Heading1"/>
      </w:pPr>
      <w:r>
        <w:rPr>
          <w:color w:val="1F497D"/>
        </w:rPr>
        <w:t>5. Robustness Evaluation</w:t>
      </w:r>
    </w:p>
    <w:p w:rsidR="001C3AC5" w:rsidRDefault="004D439F">
      <w:pPr>
        <w:spacing w:after="120"/>
      </w:pPr>
      <w:r>
        <w:t>To simulate real-world deployment conditions, Gaussian noise is injected into the test windows at six SNR levels (30, 20, 10, 5, 0, −5 dB) and the 20–450 Hz bandpass filter is re-applied before re-evaluating both models. T</w:t>
      </w:r>
      <w:r>
        <w:t>his directly tests whether the learned representations are robust to signal quality degradation from electrode movement, sweat, or poor skin contact.</w:t>
      </w:r>
    </w:p>
    <w:p w:rsidR="001C3AC5" w:rsidRDefault="004D439F">
      <w:pPr>
        <w:jc w:val="center"/>
      </w:pPr>
      <w:r>
        <w:rPr>
          <w:noProof/>
        </w:rPr>
        <w:drawing>
          <wp:inline distT="0" distB="0" distL="0" distR="0">
            <wp:extent cx="5303520" cy="202313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0_robustn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2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AC5" w:rsidRDefault="004D439F">
      <w:pPr>
        <w:spacing w:after="240"/>
        <w:jc w:val="center"/>
      </w:pPr>
      <w:r>
        <w:rPr>
          <w:i/>
          <w:sz w:val="18"/>
        </w:rPr>
        <w:t xml:space="preserve">Figure 10 — Robustness evaluation: mean R² (left) and RMSE (right) vs SNR level for both models. Dotted </w:t>
      </w:r>
      <w:r>
        <w:rPr>
          <w:i/>
          <w:sz w:val="18"/>
        </w:rPr>
        <w:t>lines indicate clean-signal baseline performance.</w:t>
      </w:r>
    </w:p>
    <w:p w:rsidR="001C3AC5" w:rsidRDefault="004D439F">
      <w:pPr>
        <w:spacing w:after="120"/>
      </w:pPr>
      <w:r>
        <w:t>Key observations from the robustness analysis:</w:t>
      </w:r>
    </w:p>
    <w:p w:rsidR="001C3AC5" w:rsidRDefault="004D439F">
      <w:pPr>
        <w:pStyle w:val="ListBullet"/>
        <w:spacing w:after="60"/>
      </w:pPr>
      <w:r>
        <w:lastRenderedPageBreak/>
        <w:t>At SNR = 30 dB (very clean), both models perform close to their clean baseline.</w:t>
      </w:r>
    </w:p>
    <w:p w:rsidR="001C3AC5" w:rsidRDefault="004D439F">
      <w:pPr>
        <w:pStyle w:val="ListBullet"/>
        <w:spacing w:after="60"/>
      </w:pPr>
      <w:r>
        <w:t>Performance degrades noticeably at SNR = 20 dB, suggesting that broadband Gauss</w:t>
      </w:r>
      <w:r>
        <w:t>ian noise is not fully suppressed by the 20–450 Hz bandpass filter.</w:t>
      </w:r>
    </w:p>
    <w:p w:rsidR="001C3AC5" w:rsidRDefault="004D439F">
      <w:pPr>
        <w:pStyle w:val="ListBullet"/>
        <w:spacing w:after="60"/>
      </w:pPr>
      <w:r>
        <w:t>At SNR ≤ 10 dB, R² approaches or drops below zero for both models</w:t>
      </w:r>
      <w:r w:rsidR="006904D3">
        <w:t>;</w:t>
      </w:r>
      <w:r>
        <w:t xml:space="preserve"> predictions are no better than predicting the joint-angle mean.</w:t>
      </w:r>
    </w:p>
    <w:p w:rsidR="001C3AC5" w:rsidRDefault="004D439F">
      <w:pPr>
        <w:pStyle w:val="ListBullet"/>
        <w:spacing w:after="60"/>
      </w:pPr>
      <w:r>
        <w:t>The CNN shows slightly different degradation curves than</w:t>
      </w:r>
      <w:r>
        <w:t xml:space="preserve"> RF, suggesting different sensitivity to noise in the raw temporal signal vs. hand-crafted features.</w:t>
      </w:r>
    </w:p>
    <w:p w:rsidR="001C3AC5" w:rsidRDefault="004D439F">
      <w:pPr>
        <w:pStyle w:val="Heading1"/>
      </w:pPr>
      <w:r>
        <w:rPr>
          <w:color w:val="1F497D"/>
        </w:rPr>
        <w:t>6. Discussion</w:t>
      </w:r>
    </w:p>
    <w:p w:rsidR="001C3AC5" w:rsidRDefault="004D439F">
      <w:pPr>
        <w:pStyle w:val="Heading2"/>
      </w:pPr>
      <w:r>
        <w:rPr>
          <w:color w:val="1F497D"/>
        </w:rPr>
        <w:t>6.1 Model Performance</w:t>
      </w:r>
    </w:p>
    <w:p w:rsidR="001C3AC5" w:rsidRDefault="004D439F">
      <w:pPr>
        <w:spacing w:after="120"/>
      </w:pPr>
      <w:r>
        <w:t>The pooled all-subject RF achieves R²=0.619, which is lower than the typical within-subject result reported in the lite</w:t>
      </w:r>
      <w:r>
        <w:t>rature (R² ≈ 0.65–0.80). This gap is expected: pooling subjects introduces cross-subject EMG variability arising from differences in electrode placement, skin impedance, and muscle anatomy, making the regression task harder. Per-subject z-score normalisati</w:t>
      </w:r>
      <w:r>
        <w:t>on reduces amplitude differences but cannot compensate for spectral or morphological differences between individuals.</w:t>
      </w:r>
    </w:p>
    <w:p w:rsidR="001C3AC5" w:rsidRDefault="004D439F">
      <w:pPr>
        <w:spacing w:after="120"/>
      </w:pPr>
      <w:r>
        <w:t>The CNN, operating on raw windows, has the potential to learn subject-invariant representations given sufficient data and training. With 1</w:t>
      </w:r>
      <w:r>
        <w:t>00 epochs on the pooled E1+E2 dataset, the CNN approaches RF performance; further training, larger batch sizes, or architectural improvements (e.g., residual connections, attention) would likely close the gap further.</w:t>
      </w:r>
    </w:p>
    <w:p w:rsidR="001C3AC5" w:rsidRDefault="004D439F">
      <w:pPr>
        <w:pStyle w:val="Heading2"/>
      </w:pPr>
      <w:r>
        <w:rPr>
          <w:color w:val="1F497D"/>
        </w:rPr>
        <w:t>6.2 Feature Engineering vs. End-to-End</w:t>
      </w:r>
      <w:r>
        <w:rPr>
          <w:color w:val="1F497D"/>
        </w:rPr>
        <w:t xml:space="preserve"> Learning</w:t>
      </w:r>
    </w:p>
    <w:p w:rsidR="001C3AC5" w:rsidRDefault="004D439F">
      <w:pPr>
        <w:spacing w:after="120"/>
      </w:pPr>
      <w:r>
        <w:t xml:space="preserve">The RF with hand-crafted features (RMS, MAV, ZC, SSC, WL) is interpretable, computationally efficient, and converges with much less training data. The CNN requires more data and compute but avoids the feature-engineering step and can potentially </w:t>
      </w:r>
      <w:r>
        <w:t>discover richer temporal patterns. For prosthesis applications, both approaches have been deployed clinically; the choice depends on latency constraints and available data.</w:t>
      </w:r>
    </w:p>
    <w:p w:rsidR="001C3AC5" w:rsidRDefault="004D439F">
      <w:pPr>
        <w:pStyle w:val="Heading2"/>
      </w:pPr>
      <w:r>
        <w:rPr>
          <w:color w:val="1F497D"/>
        </w:rPr>
        <w:t>6.3 Synthetic Simulation</w:t>
      </w:r>
    </w:p>
    <w:p w:rsidR="001C3AC5" w:rsidRDefault="004D439F">
      <w:pPr>
        <w:spacing w:after="120"/>
      </w:pPr>
      <w:r>
        <w:t xml:space="preserve">The simulation module uses a statistical/phenomenological </w:t>
      </w:r>
      <w:r>
        <w:t>approach (NeuroKit2 burst EMG scaled by a trapezoidal activation envelope) rather than a biophysical motor-unit model. This is appropriate for a pattern-recognition project: the goal is realistic noise injection and augmentation, not accurate neuromuscular</w:t>
      </w:r>
      <w:r>
        <w:t xml:space="preserve"> modelling. The SNR-parameterised noise injection enables systematic robustness curves without additional human recordings.</w:t>
      </w:r>
    </w:p>
    <w:p w:rsidR="001C3AC5" w:rsidRDefault="004D439F">
      <w:pPr>
        <w:pStyle w:val="Heading1"/>
      </w:pPr>
      <w:r>
        <w:rPr>
          <w:color w:val="1F497D"/>
        </w:rPr>
        <w:t>7. Limitations</w:t>
      </w:r>
    </w:p>
    <w:p w:rsidR="001C3AC5" w:rsidRDefault="004D439F">
      <w:pPr>
        <w:pStyle w:val="ListBullet"/>
        <w:spacing w:after="60"/>
      </w:pPr>
      <w:r>
        <w:t>Offline evaluation only</w:t>
      </w:r>
      <w:r w:rsidR="006904D3">
        <w:t xml:space="preserve">: </w:t>
      </w:r>
      <w:proofErr w:type="spellStart"/>
      <w:r>
        <w:t>NinaPro</w:t>
      </w:r>
      <w:proofErr w:type="spellEnd"/>
      <w:r>
        <w:t xml:space="preserve"> data was recorded with no online feedback loop. Real-time prosthesis control introd</w:t>
      </w:r>
      <w:r>
        <w:t>uces latency, electrode drift, and user fatigue not captured here.</w:t>
      </w:r>
    </w:p>
    <w:p w:rsidR="001C3AC5" w:rsidRDefault="004D439F">
      <w:pPr>
        <w:pStyle w:val="ListBullet"/>
        <w:spacing w:after="60"/>
      </w:pPr>
      <w:r>
        <w:t xml:space="preserve">Inter-subject </w:t>
      </w:r>
      <w:proofErr w:type="spellStart"/>
      <w:r w:rsidR="006904D3">
        <w:t>generalisation</w:t>
      </w:r>
      <w:proofErr w:type="spellEnd"/>
      <w:r w:rsidR="006904D3">
        <w:t>:</w:t>
      </w:r>
      <w:r>
        <w:t xml:space="preserve"> pooled models show lower R² than within-subject models. Domain adaptation (e.g., fine-tuning on a few target-subject reps) is the natural next step.</w:t>
      </w:r>
    </w:p>
    <w:p w:rsidR="001C3AC5" w:rsidRDefault="004D439F">
      <w:pPr>
        <w:pStyle w:val="ListBullet"/>
        <w:spacing w:after="60"/>
      </w:pPr>
      <w:r>
        <w:lastRenderedPageBreak/>
        <w:t>Statistic</w:t>
      </w:r>
      <w:r>
        <w:t>al EMG simulation</w:t>
      </w:r>
      <w:r w:rsidR="006904D3">
        <w:t>:</w:t>
      </w:r>
      <w:r>
        <w:t xml:space="preserve"> the simulation does not model motor unit action potentials, conduction velocity, or electrode cross-talk. Augmented data may not fully reflect the distribution of real recordings under pathological or fatigued conditions.</w:t>
      </w:r>
    </w:p>
    <w:p w:rsidR="001C3AC5" w:rsidRDefault="004D439F">
      <w:pPr>
        <w:pStyle w:val="ListBullet"/>
        <w:spacing w:after="60"/>
      </w:pPr>
      <w:r>
        <w:t>Fixed window p</w:t>
      </w:r>
      <w:r>
        <w:t>arameters</w:t>
      </w:r>
      <w:r w:rsidR="006904D3">
        <w:t>:</w:t>
      </w:r>
      <w:r>
        <w:t xml:space="preserve"> the 200 </w:t>
      </w:r>
      <w:proofErr w:type="spellStart"/>
      <w:r>
        <w:t>ms</w:t>
      </w:r>
      <w:proofErr w:type="spellEnd"/>
      <w:r>
        <w:t xml:space="preserve"> / 50 ms stride was adopted from the literature; optimal parameters may differ across subjects and movement types.</w:t>
      </w:r>
    </w:p>
    <w:p w:rsidR="001C3AC5" w:rsidRDefault="004D439F">
      <w:pPr>
        <w:pStyle w:val="ListBullet"/>
        <w:spacing w:after="60"/>
      </w:pPr>
      <w:r>
        <w:t>Single dataset</w:t>
      </w:r>
      <w:r w:rsidR="006904D3">
        <w:t>:</w:t>
      </w:r>
      <w:r>
        <w:t xml:space="preserve"> results are specific to NinaPro DB2. Performance on other datasets (e.g., NinaPro DB1, ENABL3S) may di</w:t>
      </w:r>
      <w:r>
        <w:t>ffer.</w:t>
      </w:r>
    </w:p>
    <w:p w:rsidR="001C3AC5" w:rsidRDefault="004D439F">
      <w:pPr>
        <w:pStyle w:val="Heading1"/>
      </w:pPr>
      <w:r>
        <w:rPr>
          <w:color w:val="1F497D"/>
        </w:rPr>
        <w:t>8. Conclusion</w:t>
      </w:r>
    </w:p>
    <w:p w:rsidR="001C3AC5" w:rsidRDefault="004D439F">
      <w:pPr>
        <w:spacing w:after="120"/>
      </w:pPr>
      <w:r>
        <w:t xml:space="preserve">This project demonstrates a complete machine learning pipeline for continuous hand kinematic regression from surface EMG, from raw data loading and preprocessing through to robustness evaluation under noise. Two baseline models </w:t>
      </w:r>
      <w:r>
        <w:t xml:space="preserve">a </w:t>
      </w:r>
      <w:r>
        <w:t>classical Random Forest and a 1D CNN</w:t>
      </w:r>
      <w:r>
        <w:t xml:space="preserve"> are trained and compared on the NinaPro DB2 dataset across all 19 compatible subjects.</w:t>
      </w:r>
    </w:p>
    <w:p w:rsidR="001C3AC5" w:rsidRDefault="004D439F">
      <w:pPr>
        <w:spacing w:after="120"/>
      </w:pPr>
      <w:r>
        <w:t>The Random Forest achieves R²=0.619 on the pooled all-subject test set, establishing a solid classical baseline. The CNN shows com</w:t>
      </w:r>
      <w:r>
        <w:t>parable performance after 100 training epochs and has greater potential for improvement through architectural refinement and longer training. Both models degrade substantially under noise injection below SNR=10 dB, highlighting the importance of signal qua</w:t>
      </w:r>
      <w:r>
        <w:t>lity and robust preprocessing for real-world prosthesis deployment.</w:t>
      </w:r>
    </w:p>
    <w:p w:rsidR="001C3AC5" w:rsidRDefault="004D439F">
      <w:pPr>
        <w:spacing w:after="120"/>
      </w:pPr>
      <w:r>
        <w:t>Future work should focus on: (1) domain adaptation to close the gap between pooled and within-subject performance, (2) more expressive architectures (LSTM, Transformer) for capturing longe</w:t>
      </w:r>
      <w:r>
        <w:t>r temporal dependencies in EMG, and (3) online evaluation with real-time control latency constraints.</w:t>
      </w:r>
    </w:p>
    <w:p w:rsidR="001C3AC5" w:rsidRDefault="004D439F">
      <w:pPr>
        <w:pStyle w:val="Heading1"/>
      </w:pPr>
      <w:r>
        <w:rPr>
          <w:color w:val="1F497D"/>
        </w:rPr>
        <w:t>References</w:t>
      </w:r>
    </w:p>
    <w:p w:rsidR="001C3AC5" w:rsidRDefault="004D439F">
      <w:pPr>
        <w:spacing w:after="80"/>
      </w:pPr>
      <w:r>
        <w:rPr>
          <w:sz w:val="20"/>
        </w:rPr>
        <w:t>[1] Atzori, M. et al. (2014). Electromyography data for non-invasive naturally-controlled robotic hand prostheses. Scientific Data, 1, 140053.</w:t>
      </w:r>
    </w:p>
    <w:p w:rsidR="001C3AC5" w:rsidRDefault="004D439F">
      <w:pPr>
        <w:spacing w:after="80"/>
      </w:pPr>
      <w:r>
        <w:rPr>
          <w:sz w:val="20"/>
        </w:rPr>
        <w:t>[2] Phinyomark, A., Phukpattaranont, P., &amp; Limsakul, C. (2012). Feature reduction and selection for EMG signal classification. Expert Systems with Applications, 39(8), 7420–7431.</w:t>
      </w:r>
    </w:p>
    <w:p w:rsidR="001C3AC5" w:rsidRDefault="004D439F">
      <w:pPr>
        <w:spacing w:after="80"/>
      </w:pPr>
      <w:r>
        <w:rPr>
          <w:sz w:val="20"/>
        </w:rPr>
        <w:t>[3] Côté-Allard, U. et al. (2019). Deep learning for electromyographic hand g</w:t>
      </w:r>
      <w:r>
        <w:rPr>
          <w:sz w:val="20"/>
        </w:rPr>
        <w:t>esture signal classification using transfer learning. IEEE Transactions on Neural Systems and Rehabilitation Engineering, 27(4), 760–771.</w:t>
      </w:r>
    </w:p>
    <w:p w:rsidR="001C3AC5" w:rsidRDefault="004D439F">
      <w:pPr>
        <w:spacing w:after="80"/>
      </w:pPr>
      <w:r>
        <w:rPr>
          <w:sz w:val="20"/>
        </w:rPr>
        <w:t>[4] Shlens, J. (2014). Notes on generalized linear models of neurons. arXiv:1404.1999.</w:t>
      </w:r>
    </w:p>
    <w:p w:rsidR="001C3AC5" w:rsidRDefault="004D439F">
      <w:pPr>
        <w:spacing w:after="80"/>
      </w:pPr>
      <w:r>
        <w:rPr>
          <w:sz w:val="20"/>
        </w:rPr>
        <w:t>[5] Makowski, D. et al. (2021).</w:t>
      </w:r>
      <w:r>
        <w:rPr>
          <w:sz w:val="20"/>
        </w:rPr>
        <w:t xml:space="preserve"> NeuroKit2: A Python toolbox for neurophysiological signal processing. Behavior Research Methods, 53(4), 1689–1696.</w:t>
      </w:r>
    </w:p>
    <w:p w:rsidR="001C3AC5" w:rsidRDefault="004D439F">
      <w:pPr>
        <w:spacing w:after="80"/>
      </w:pPr>
      <w:r>
        <w:rPr>
          <w:sz w:val="20"/>
        </w:rPr>
        <w:t>[6] Pedregosa, F. et al. (2011). Scikit-learn: Machine learning in Python. Journal of Machine Learning Research, 12, 2825–2830.</w:t>
      </w:r>
    </w:p>
    <w:sectPr w:rsidR="001C3AC5" w:rsidSect="00034616"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1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3AC5"/>
    <w:rsid w:val="00295B06"/>
    <w:rsid w:val="0029639D"/>
    <w:rsid w:val="00326F90"/>
    <w:rsid w:val="004D439F"/>
    <w:rsid w:val="006904D3"/>
    <w:rsid w:val="007B372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342E30"/>
  <w14:defaultImageDpi w14:val="300"/>
  <w15:docId w15:val="{5392E7E3-76C9-4C47-9B48-E8F1C1524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449CC24-ED26-0143-997B-42C14FC24E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13</Pages>
  <Words>2475</Words>
  <Characters>14109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JAYARAM, KAILASH RAM (PGT)</cp:lastModifiedBy>
  <cp:revision>4</cp:revision>
  <dcterms:created xsi:type="dcterms:W3CDTF">2013-12-23T23:15:00Z</dcterms:created>
  <dcterms:modified xsi:type="dcterms:W3CDTF">2026-07-01T08:24:00Z</dcterms:modified>
  <cp:category/>
</cp:coreProperties>
</file>