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B5C"/>
          <w:sz w:val="52"/>
        </w:rPr>
        <w:t>Test 8: Investigating the Published-SOTA Accuracy Gap</w:t>
      </w:r>
    </w:p>
    <w:p>
      <w:pPr>
        <w:jc w:val="center"/>
      </w:pPr>
      <w:r>
        <w:rPr>
          <w:i/>
          <w:sz w:val="26"/>
        </w:rPr>
        <w:t>A Literature Comparison and a Controlled Investigation of Why This Project's Accuracy Appeared Behind Published Ninapro DB2 Results</w:t>
      </w:r>
    </w:p>
    <w:p/>
    <w:p/>
    <w:p>
      <w:pPr>
        <w:jc w:val="center"/>
      </w:pPr>
      <w:r>
        <w:rPr>
          <w:sz w:val="22"/>
        </w:rPr>
        <w:t>Prepared: August 2026</w:t>
        <w:br/>
        <w:t>MSc Final Project -- EMG-Driven Prosthetic Hand Control</w:t>
      </w:r>
    </w:p>
    <w:p>
      <w:r>
        <w:br w:type="page"/>
      </w:r>
    </w:p>
    <w:p>
      <w:pPr>
        <w:pStyle w:val="Heading1"/>
      </w:pPr>
      <w:r>
        <w:t>Table of Contents</w:t>
      </w:r>
    </w:p>
    <w:p>
      <w:pPr>
        <w:pStyle w:val="ListBullet"/>
      </w:pPr>
      <w:r>
        <w:t>1. Executive Summary</w:t>
      </w:r>
    </w:p>
    <w:p>
      <w:pPr>
        <w:pStyle w:val="ListBullet"/>
      </w:pPr>
      <w:r>
        <w:t>2. Background: Why This Investigation Was Undertaken</w:t>
      </w:r>
    </w:p>
    <w:p>
      <w:pPr>
        <w:pStyle w:val="ListBullet"/>
      </w:pPr>
      <w:r>
        <w:t>3. Literature Comparison: Where This Project Already Leads</w:t>
      </w:r>
    </w:p>
    <w:p>
      <w:pPr>
        <w:pStyle w:val="ListBullet"/>
      </w:pPr>
      <w:r>
        <w:t>4. Investigating the sMAPEN Gap: Window-Overlap Evaluation Density</w:t>
      </w:r>
    </w:p>
    <w:p>
      <w:pPr>
        <w:pStyle w:val="ListBullet"/>
      </w:pPr>
      <w:r>
        <w:t>5. Does Training Density Matter, Not Just Evaluation Density?</w:t>
      </w:r>
    </w:p>
    <w:p>
      <w:pPr>
        <w:pStyle w:val="ListBullet"/>
      </w:pPr>
      <w:r>
        <w:t>6. Subject-Pool-Size Sensitivity</w:t>
      </w:r>
    </w:p>
    <w:p>
      <w:pPr>
        <w:pStyle w:val="ListBullet"/>
      </w:pPr>
      <w:r>
        <w:t>7. What Could Not Be Resolved</w:t>
      </w:r>
    </w:p>
    <w:p>
      <w:pPr>
        <w:pStyle w:val="ListBullet"/>
      </w:pPr>
      <w:r>
        <w:t>8. Attempting a Literal Hop=1 Training Run: An Honest Account</w:t>
      </w:r>
    </w:p>
    <w:p>
      <w:pPr>
        <w:pStyle w:val="ListBullet"/>
      </w:pPr>
      <w:r>
        <w:t>9. Cross-Subject Generalisation: A Genuine Attempt</w:t>
      </w:r>
    </w:p>
    <w:p>
      <w:pPr>
        <w:pStyle w:val="ListBullet"/>
      </w:pPr>
      <w:r>
        <w:t>10. Architecture Changes Tried and Reverted</w:t>
      </w:r>
    </w:p>
    <w:p>
      <w:pPr>
        <w:pStyle w:val="ListBullet"/>
      </w:pPr>
      <w:r>
        <w:t>11. Final Honest Verdict</w:t>
      </w:r>
    </w:p>
    <w:p>
      <w:pPr>
        <w:pStyle w:val="ListBullet"/>
      </w:pPr>
      <w:r>
        <w:t>12. Recommended Next Steps</w:t>
      </w:r>
    </w:p>
    <w:p>
      <w:r>
        <w:br w:type="page"/>
      </w:r>
    </w:p>
    <w:p>
      <w:pPr>
        <w:pStyle w:val="Heading1"/>
      </w:pPr>
      <w:r>
        <w:t>1. Executive Summary</w:t>
      </w:r>
    </w:p>
    <w:p>
      <w:r>
        <w:rPr>
          <w:b w:val="0"/>
          <w:i w:val="0"/>
        </w:rPr>
        <w:t>Test 7's calibrated per-subject accuracy (R^2=0.790) was compared against recently published deep-learning results on the same dataset (Ninapro DB2), and appeared to fall behind the best of these -- sMAPEN (Springer, Journal of NeuroEngineering and Rehabilitation, 2024) reports R^2=0.8163. Rather than either accepting this gap at face value or attempting to close it by guessing at architecture changes, this investigation (Test 8) did three things: (1) verified this project's real advantages over other published methods on protocols that ARE comparable, (2) identified and quantified concrete, verified methodological differences between this project's evaluation and sMAPEN's own reported protocol, and (3) attempted several architecture changes and one genuine cross-subject-generalisation technique, reporting the real result in every case, including three negative results.</w:t>
      </w:r>
    </w:p>
    <w:p>
      <w:r>
        <w:rPr>
          <w:b w:val="0"/>
          <w:i w:val="0"/>
        </w:rPr>
        <w:t>The headline finding: under sMAPEN's own reported evaluation protocol (window step of 0.5ms, i.e. 99.5% overlap between consecutive analysis windows, versus this project's 100ms step / 50% overlap), the SAME model architecture -- no changes at all -- scores R^2=0.840, exceeding sMAPEN's reported 0.8163. This is not evidence of a better model; it is evidence that window-overlap density has a large, mechanical effect on reported R^2, largely independent of genuine predictive accuracy. A second, smaller, opposing effect was also found and quantified (this project's smaller local subject pool, 19 vs. sMAPEN's 40, plausibly inflates R^2 by a smaller amount). The two effects do not cleanly cancel into one verified number. The honest, defensible conclusion is: this project's architecture is comparable to, and plausibly at or above, current published state-of-the-art on this dataset once evaluation protocol is matched -- not a clean win, and not a clean loss.</w:t>
      </w:r>
    </w:p>
    <w:p>
      <w:pPr>
        <w:pStyle w:val="Heading1"/>
      </w:pPr>
      <w:r>
        <w:t>2. Background: Why This Investigation Was Undertaken</w:t>
      </w:r>
    </w:p>
    <w:p>
      <w:r>
        <w:rPr>
          <w:b w:val="0"/>
          <w:i w:val="0"/>
        </w:rPr>
        <w:t>Test 7's final, calibrated deliverable reaches R^2=0.790 (subject S13) / 0.690 (subject S22) -- the highest accuracy reported anywhere in this project, using a leakage-safe, per-subject calibration workflow. A literature review comparing this figure against recently published continuous-kinematics-from-EMG papers on the same dataset found several results reporting higher raw accuracy, most notably sMAPEN's R^2=0.8163. Rather than treat this as a settled limitation, or attempt to close it by trial-and-error architecture changes without first understanding WHY the gap existed, this project undertook a structured investigation: verify what evaluation protocol produced sMAPEN's number, replicate the relevant parts of that protocol on this project's own architecture, and separately test whether architecture changes could close any genuine remaining gap.</w:t>
      </w:r>
    </w:p>
    <w:p>
      <w:pPr>
        <w:pStyle w:val="Heading1"/>
      </w:pPr>
      <w:r>
        <w:t>3. Literature Comparison: Where This Project Already Leads</w:t>
      </w:r>
    </w:p>
    <w:p>
      <w:r>
        <w:rPr>
          <w:b w:val="0"/>
          <w:i w:val="0"/>
        </w:rPr>
        <w:t>Before investigating the sMAPEN gap specifically, this project's calibration-first approach was compared against two other published methods on protocols that are directly, fairly comparable -- these comparisons are NOT affected by anything in the rest of this report.</w:t>
      </w:r>
    </w:p>
    <w:p>
      <w:pPr>
        <w:pStyle w:val="Heading2"/>
      </w:pPr>
      <w:r>
        <w:t>3.1 Cross-subject transfer learning (RoFormer)</w:t>
      </w:r>
    </w:p>
    <w:p>
      <w:r>
        <w:rPr>
          <w:b w:val="0"/>
          <w:i w:val="0"/>
        </w:rPr>
        <w:t>A rotary-transformer cross-subject model for Ninapro DB2 (Frontiers in Neuroscience, 2024) uses Adversarial Transfer Learning (ATL) to adapt a base model to a new subject. Their own reported numbers: R^2=0.260 (no adaptation) rising to R^2=0.652 after ATL calibration. This project's calibration workflow (a simpler fine-tune, not adversarial transfer learning) reaches R^2=0.790 on subject S13 -- a substantially higher calibrated ceiling than a purpose-built cross-subject transfer method, using less specialised machinery.</w:t>
      </w:r>
    </w:p>
    <w:p>
      <w:pPr>
        <w:pStyle w:val="Heading2"/>
      </w:pPr>
      <w:r>
        <w:t>3.2 KinEMbed's own reported numbers</w:t>
      </w:r>
    </w:p>
    <w:p>
      <w:r>
        <w:rPr>
          <w:b w:val="0"/>
          <w:i w:val="0"/>
        </w:rPr>
        <w:t>KinEMbed (the paper whose hand-crafted feature set this project adopted, arXiv:2607.04820) reports its own headline result as R^2=0.769 (able-bodied subjects) / 0.732 (overall), using their full cross-modal contrastive-pretraining pipeline on Ninapro DB8. This project reached R^2=0.790 using only their classical feature list, explicitly skipping their contrastive-pretraining machinery as an unjustified engineering cost for the measured gain their own paper reports. This is a real, if not perfectly matched (different dataset, DB2 vs. DB8), validation of that design decision.</w:t>
      </w:r>
    </w:p>
    <w:p>
      <w:pPr>
        <w:pStyle w:val="Heading2"/>
      </w:pPr>
      <w:r>
        <w:t>3.3 Verification and negative-result discipline</w:t>
      </w:r>
    </w:p>
    <w:p>
      <w:r>
        <w:rPr>
          <w:b w:val="0"/>
          <w:i w:val="0"/>
        </w:rPr>
        <w:t>Across this project, every architecture or feature change is verified via a real retrain on real data and kept only if it produces a measurable, repeatable gain; several published papers in this space do not appear to apply the same discipline to evaluation-protocol leakage risk (see Section 4). EMGBench (a 2024 benchmarking paper) confirms cross-subject generalisation collapse is a widespread, underexamined problem across the field -- this project independently rediscovered the same failure mode across three separate stages (Test 1, Test 6, Test 8's own leave-subject-out baseline) before addressing it directly (Section 9).</w:t>
      </w:r>
    </w:p>
    <w:p>
      <w:r>
        <w:br w:type="page"/>
      </w:r>
    </w:p>
    <w:p>
      <w:pPr>
        <w:pStyle w:val="Heading1"/>
      </w:pPr>
      <w:r>
        <w:t>4. Investigating the sMAPEN Gap: Window-Overlap Evaluation Density</w:t>
      </w:r>
    </w:p>
    <w:p>
      <w:r>
        <w:rPr>
          <w:b w:val="0"/>
          <w:i w:val="0"/>
        </w:rPr>
        <w:t>sMAPEN and RoFormer's own methods text (verified via direct retrieval of both papers) both specify the same striking windowing scheme:</w:t>
      </w:r>
    </w:p>
    <w:p>
      <w:pPr>
        <w:pStyle w:val="ListBullet"/>
      </w:pPr>
      <w:r>
        <w:t>sMAPEN: "We segmented hand kinematic signals into sequences of 100 ms windows with a 0.5 ms step."</w:t>
      </w:r>
    </w:p>
    <w:p>
      <w:pPr>
        <w:pStyle w:val="ListBullet"/>
      </w:pPr>
      <w:r>
        <w:t>RoFormer: "we extract the RMS feature of sEMG signals using a 100 ms sliding window and a step size of 0.5 ms."</w:t>
      </w:r>
    </w:p>
    <w:p>
      <w:r>
        <w:rPr>
          <w:b w:val="0"/>
          <w:i w:val="0"/>
        </w:rPr>
        <w:t>At Ninapro DB2's 2000Hz sampling rate, a 0.5ms step is exactly 1 sample -- consecutive analysis windows are offset by a single sample and overlap by 99.5%. This project's pipeline uses 200ms windows with a 100ms (200-sample) step -- 50% overlap. This is a roughly 200x difference in window density between the two evaluation protocols.</w:t>
      </w:r>
    </w:p>
    <w:p>
      <w:pPr>
        <w:pStyle w:val="Heading2"/>
      </w:pPr>
      <w:r>
        <w:t>4.1 A controlled sweep, holding the model fixed</w:t>
      </w:r>
    </w:p>
    <w:p>
      <w:r>
        <w:rPr>
          <w:b w:val="0"/>
          <w:i w:val="0"/>
        </w:rPr>
        <w:t>A script (hop_sweep.py) tested this directly: an already-trained, FROZEN model checkpoint (no retraining) was re-evaluated on the same held-out repetitions, re-windowed at hop sizes from 200 samples down to 1, with the total evaluated window count held fixed at every level (via random subsampling) so that only window density varies across the sweep, not how much test data is examined.</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Hop (samples)</w:t>
            </w:r>
          </w:p>
        </w:tc>
        <w:tc>
          <w:tcPr>
            <w:tcW w:type="dxa" w:w="2880"/>
            <w:shd w:val="clear" w:color="auto" w:fill="2F5496"/>
          </w:tcPr>
          <w:p>
            <w:r>
              <w:rPr>
                <w:b/>
                <w:color w:val="FFFFFF"/>
                <w:sz w:val="20"/>
              </w:rPr>
              <w:t>Hop (ms)</w:t>
            </w:r>
          </w:p>
        </w:tc>
        <w:tc>
          <w:tcPr>
            <w:tcW w:type="dxa" w:w="2880"/>
            <w:shd w:val="clear" w:color="auto" w:fill="2F5496"/>
          </w:tcPr>
          <w:p>
            <w:r>
              <w:rPr>
                <w:b/>
                <w:color w:val="FFFFFF"/>
                <w:sz w:val="20"/>
              </w:rPr>
              <w:t>Fair R^2</w:t>
            </w:r>
          </w:p>
        </w:tc>
      </w:tr>
      <w:tr>
        <w:tc>
          <w:tcPr>
            <w:tcW w:type="dxa" w:w="2880"/>
          </w:tcPr>
          <w:p>
            <w:r>
              <w:rPr>
                <w:sz w:val="20"/>
              </w:rPr>
              <w:t>200 (this project's protocol)</w:t>
            </w:r>
          </w:p>
        </w:tc>
        <w:tc>
          <w:tcPr>
            <w:tcW w:type="dxa" w:w="2880"/>
          </w:tcPr>
          <w:p>
            <w:r>
              <w:rPr>
                <w:sz w:val="20"/>
              </w:rPr>
              <w:t>100.0</w:t>
            </w:r>
          </w:p>
        </w:tc>
        <w:tc>
          <w:tcPr>
            <w:tcW w:type="dxa" w:w="2880"/>
          </w:tcPr>
          <w:p>
            <w:r>
              <w:rPr>
                <w:sz w:val="20"/>
              </w:rPr>
              <w:t>0.611</w:t>
            </w:r>
          </w:p>
        </w:tc>
      </w:tr>
      <w:tr>
        <w:tc>
          <w:tcPr>
            <w:tcW w:type="dxa" w:w="2880"/>
            <w:shd w:val="clear" w:color="auto" w:fill="EDF1F9"/>
          </w:tcPr>
          <w:p>
            <w:r>
              <w:rPr>
                <w:sz w:val="20"/>
              </w:rPr>
              <w:t>100</w:t>
            </w:r>
          </w:p>
        </w:tc>
        <w:tc>
          <w:tcPr>
            <w:tcW w:type="dxa" w:w="2880"/>
            <w:shd w:val="clear" w:color="auto" w:fill="EDF1F9"/>
          </w:tcPr>
          <w:p>
            <w:r>
              <w:rPr>
                <w:sz w:val="20"/>
              </w:rPr>
              <w:t>50.0</w:t>
            </w:r>
          </w:p>
        </w:tc>
        <w:tc>
          <w:tcPr>
            <w:tcW w:type="dxa" w:w="2880"/>
            <w:shd w:val="clear" w:color="auto" w:fill="EDF1F9"/>
          </w:tcPr>
          <w:p>
            <w:r>
              <w:rPr>
                <w:sz w:val="20"/>
              </w:rPr>
              <w:t>0.632</w:t>
            </w:r>
          </w:p>
        </w:tc>
      </w:tr>
      <w:tr>
        <w:tc>
          <w:tcPr>
            <w:tcW w:type="dxa" w:w="2880"/>
          </w:tcPr>
          <w:p>
            <w:r>
              <w:rPr>
                <w:sz w:val="20"/>
              </w:rPr>
              <w:t>50</w:t>
            </w:r>
          </w:p>
        </w:tc>
        <w:tc>
          <w:tcPr>
            <w:tcW w:type="dxa" w:w="2880"/>
          </w:tcPr>
          <w:p>
            <w:r>
              <w:rPr>
                <w:sz w:val="20"/>
              </w:rPr>
              <w:t>25.0</w:t>
            </w:r>
          </w:p>
        </w:tc>
        <w:tc>
          <w:tcPr>
            <w:tcW w:type="dxa" w:w="2880"/>
          </w:tcPr>
          <w:p>
            <w:r>
              <w:rPr>
                <w:sz w:val="20"/>
              </w:rPr>
              <w:t>0.655</w:t>
            </w:r>
          </w:p>
        </w:tc>
      </w:tr>
      <w:tr>
        <w:tc>
          <w:tcPr>
            <w:tcW w:type="dxa" w:w="2880"/>
            <w:shd w:val="clear" w:color="auto" w:fill="EDF1F9"/>
          </w:tcPr>
          <w:p>
            <w:r>
              <w:rPr>
                <w:sz w:val="20"/>
              </w:rPr>
              <w:t>20</w:t>
            </w:r>
          </w:p>
        </w:tc>
        <w:tc>
          <w:tcPr>
            <w:tcW w:type="dxa" w:w="2880"/>
            <w:shd w:val="clear" w:color="auto" w:fill="EDF1F9"/>
          </w:tcPr>
          <w:p>
            <w:r>
              <w:rPr>
                <w:sz w:val="20"/>
              </w:rPr>
              <w:t>10.0</w:t>
            </w:r>
          </w:p>
        </w:tc>
        <w:tc>
          <w:tcPr>
            <w:tcW w:type="dxa" w:w="2880"/>
            <w:shd w:val="clear" w:color="auto" w:fill="EDF1F9"/>
          </w:tcPr>
          <w:p>
            <w:r>
              <w:rPr>
                <w:sz w:val="20"/>
              </w:rPr>
              <w:t>0.706</w:t>
            </w:r>
          </w:p>
        </w:tc>
      </w:tr>
      <w:tr>
        <w:tc>
          <w:tcPr>
            <w:tcW w:type="dxa" w:w="2880"/>
          </w:tcPr>
          <w:p>
            <w:r>
              <w:rPr>
                <w:sz w:val="20"/>
              </w:rPr>
              <w:t>10</w:t>
            </w:r>
          </w:p>
        </w:tc>
        <w:tc>
          <w:tcPr>
            <w:tcW w:type="dxa" w:w="2880"/>
          </w:tcPr>
          <w:p>
            <w:r>
              <w:rPr>
                <w:sz w:val="20"/>
              </w:rPr>
              <w:t>5.0</w:t>
            </w:r>
          </w:p>
        </w:tc>
        <w:tc>
          <w:tcPr>
            <w:tcW w:type="dxa" w:w="2880"/>
          </w:tcPr>
          <w:p>
            <w:r>
              <w:rPr>
                <w:sz w:val="20"/>
              </w:rPr>
              <w:t>0.760</w:t>
            </w:r>
          </w:p>
        </w:tc>
      </w:tr>
      <w:tr>
        <w:tc>
          <w:tcPr>
            <w:tcW w:type="dxa" w:w="2880"/>
            <w:shd w:val="clear" w:color="auto" w:fill="EDF1F9"/>
          </w:tcPr>
          <w:p>
            <w:r>
              <w:rPr>
                <w:sz w:val="20"/>
              </w:rPr>
              <w:t>4</w:t>
            </w:r>
          </w:p>
        </w:tc>
        <w:tc>
          <w:tcPr>
            <w:tcW w:type="dxa" w:w="2880"/>
            <w:shd w:val="clear" w:color="auto" w:fill="EDF1F9"/>
          </w:tcPr>
          <w:p>
            <w:r>
              <w:rPr>
                <w:sz w:val="20"/>
              </w:rPr>
              <w:t>2.0</w:t>
            </w:r>
          </w:p>
        </w:tc>
        <w:tc>
          <w:tcPr>
            <w:tcW w:type="dxa" w:w="2880"/>
            <w:shd w:val="clear" w:color="auto" w:fill="EDF1F9"/>
          </w:tcPr>
          <w:p>
            <w:r>
              <w:rPr>
                <w:sz w:val="20"/>
              </w:rPr>
              <w:t>0.820</w:t>
            </w:r>
          </w:p>
        </w:tc>
      </w:tr>
      <w:tr>
        <w:tc>
          <w:tcPr>
            <w:tcW w:type="dxa" w:w="2880"/>
          </w:tcPr>
          <w:p>
            <w:r>
              <w:rPr>
                <w:sz w:val="20"/>
              </w:rPr>
              <w:t>1 (sMAPEN/RoFormer's exact step)</w:t>
            </w:r>
          </w:p>
        </w:tc>
        <w:tc>
          <w:tcPr>
            <w:tcW w:type="dxa" w:w="2880"/>
          </w:tcPr>
          <w:p>
            <w:r>
              <w:rPr>
                <w:sz w:val="20"/>
              </w:rPr>
              <w:t>0.5</w:t>
            </w:r>
          </w:p>
        </w:tc>
        <w:tc>
          <w:tcPr>
            <w:tcW w:type="dxa" w:w="2880"/>
          </w:tcPr>
          <w:p>
            <w:r>
              <w:rPr>
                <w:sz w:val="20"/>
              </w:rPr>
              <w:t>0.840</w:t>
            </w:r>
          </w:p>
        </w:tc>
      </w:tr>
    </w:tbl>
    <w:p>
      <w:r>
        <w:rPr>
          <w:b w:val="0"/>
          <w:i w:val="0"/>
        </w:rPr>
        <w:t>At sMAPEN's exact evaluation density, the SAME frozen baseline checkpoint that scored 0.611 under this project's own evaluation protocol reaches R^2=0.840 -- slightly exceeding sMAPEN's reported 0.8163 -- with zero architecture change and zero retraining.</w:t>
      </w:r>
    </w:p>
    <w:p>
      <w:pPr>
        <w:pStyle w:val="Heading2"/>
      </w:pPr>
      <w:r>
        <w:t>4.2 Why this happens</w:t>
      </w:r>
    </w:p>
    <w:p>
      <w:r>
        <w:rPr>
          <w:b w:val="0"/>
          <w:i w:val="0"/>
        </w:rPr>
        <w:t>At a 1-sample step, consecutive evaluation windows share 199.5 of their 200 samples (99.75% identical). The corresponding predictions and residual errors become heavily autocorrelated and slowly-varying, rather than behaving like independent test points. This mechanically inflates R^2 (1 minus the ratio of residual to total variance) without the model extracting more real information -- it is a property of how the metric is computed over a densely, smoothly-varying evaluation set, not evidence of superior underlying prediction quality.</w:t>
      </w:r>
    </w:p>
    <w:p>
      <w:pPr>
        <w:pStyle w:val="Heading2"/>
      </w:pPr>
      <w:r>
        <w:t>4.3 What was checked and ruled out</w:t>
      </w:r>
    </w:p>
    <w:p>
      <w:r>
        <w:rPr>
          <w:b w:val="0"/>
          <w:i w:val="0"/>
        </w:rPr>
        <w:t>Two other candidate explanations for the gap were checked directly against both papers' methods sections and ruled out: neither paper describes any bandpass or notch filtering this project's pipeline lacks, and neither describes any data augmentation (noise injection, time-warping) -- this project's own Gaussian-noise training augmentation means it is, if anything, doing MORE regularisation than either published method, which makes their higher raw R^2 more surprising under a fair comparison, not less.</w:t>
      </w:r>
    </w:p>
    <w:p>
      <w:r>
        <w:br w:type="page"/>
      </w:r>
    </w:p>
    <w:p>
      <w:pPr>
        <w:pStyle w:val="Heading1"/>
      </w:pPr>
      <w:r>
        <w:t>5. Does Training Density Matter, Not Just Evaluation Density?</w:t>
      </w:r>
    </w:p>
    <w:p>
      <w:r>
        <w:rPr>
          <w:b w:val="0"/>
          <w:i w:val="0"/>
        </w:rPr>
        <w:t>Section 4's sweep only re-evaluated an already-trained model more densely -- it never retrained anything. sMAPEN, however, also TRAINS at their dense 0.5ms step, meaning their model saw far more (redundant, but more) training windows than this project's baseline ever has. A second script (dense_train_eval.py) tested whether training density itself adds anything beyond the pure evaluation-side effect, by actually training a fresh model with windows generated at a denser hop (20 samples, 10ms) for both the training and evaluation sides, then comparing against Section 4's eval-only result at the same hop level.</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sz w:val="20"/>
              </w:rPr>
              <w:t>Hop=20 (10ms step)</w:t>
            </w:r>
          </w:p>
        </w:tc>
        <w:tc>
          <w:tcPr>
            <w:tcW w:type="dxa" w:w="4320"/>
            <w:shd w:val="clear" w:color="auto" w:fill="2F5496"/>
          </w:tcPr>
          <w:p>
            <w:r>
              <w:rPr>
                <w:b/>
                <w:color w:val="FFFFFF"/>
                <w:sz w:val="20"/>
              </w:rPr>
              <w:t>Fair R^2</w:t>
            </w:r>
          </w:p>
        </w:tc>
      </w:tr>
      <w:tr>
        <w:tc>
          <w:tcPr>
            <w:tcW w:type="dxa" w:w="4320"/>
          </w:tcPr>
          <w:p>
            <w:r>
              <w:rPr>
                <w:sz w:val="20"/>
              </w:rPr>
              <w:t>Eval-only (coarse hop=200-trained model, evaluated densely)</w:t>
            </w:r>
          </w:p>
        </w:tc>
        <w:tc>
          <w:tcPr>
            <w:tcW w:type="dxa" w:w="4320"/>
          </w:tcPr>
          <w:p>
            <w:r>
              <w:rPr>
                <w:sz w:val="20"/>
              </w:rPr>
              <w:t>0.706</w:t>
            </w:r>
          </w:p>
        </w:tc>
      </w:tr>
      <w:tr>
        <w:tc>
          <w:tcPr>
            <w:tcW w:type="dxa" w:w="4320"/>
            <w:shd w:val="clear" w:color="auto" w:fill="EDF1F9"/>
          </w:tcPr>
          <w:p>
            <w:r>
              <w:rPr>
                <w:sz w:val="20"/>
              </w:rPr>
              <w:t>Dense-trained (trained AND evaluated at hop=20)</w:t>
            </w:r>
          </w:p>
        </w:tc>
        <w:tc>
          <w:tcPr>
            <w:tcW w:type="dxa" w:w="4320"/>
            <w:shd w:val="clear" w:color="auto" w:fill="EDF1F9"/>
          </w:tcPr>
          <w:p>
            <w:r>
              <w:rPr>
                <w:sz w:val="20"/>
              </w:rPr>
              <w:t>0.784</w:t>
            </w:r>
          </w:p>
        </w:tc>
      </w:tr>
    </w:tbl>
    <w:p>
      <w:r>
        <w:rPr>
          <w:b w:val="0"/>
          <w:i w:val="0"/>
        </w:rPr>
        <w:t>Training at the denser step closed roughly 78% of the remaining gap to sMAPEN's 0.8163, at a step size 20x coarser than sMAPEN's own extreme. This indicates training density is not purely an evaluation-side artifact -- it produces a real, additional, measurable gain, plausibly acting as a very high-volume, mild form of data augmentation (many overlapping windows expose the model to slightly different framings of the same underlying muscle activity). This means sMAPEN's reported figure likely benefits from BOTH effects (evaluation-density inflation and a genuine training-density gain), and Section 4's eval-only figure of 0.840 was probably an UNDERSTATEMENT of what a fully hop=1-trained model would achieve on the density dimension alone.</w:t>
      </w:r>
    </w:p>
    <w:p>
      <w:r>
        <w:br w:type="page"/>
      </w:r>
    </w:p>
    <w:p>
      <w:pPr>
        <w:pStyle w:val="Heading1"/>
      </w:pPr>
      <w:r>
        <w:t>6. Subject-Pool-Size Sensitivity</w:t>
      </w:r>
    </w:p>
    <w:p>
      <w:r>
        <w:rPr>
          <w:b w:val="0"/>
          <w:i w:val="0"/>
        </w:rPr>
        <w:t>This project's local Ninapro DB2 pool contains 19 subjects; sMAPEN's reported results use 40. Rather than leave this as an unquantified caveat, a sensitivity ablation (subject_count_ablation.py) trained the same architecture and protocol on progressively smaller random subject subsets, holding everything else fixed, to measure the real trend.</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sz w:val="20"/>
              </w:rPr>
              <w:t>N subjects</w:t>
            </w:r>
          </w:p>
        </w:tc>
        <w:tc>
          <w:tcPr>
            <w:tcW w:type="dxa" w:w="4320"/>
            <w:shd w:val="clear" w:color="auto" w:fill="2F5496"/>
          </w:tcPr>
          <w:p>
            <w:r>
              <w:rPr>
                <w:b/>
                <w:color w:val="FFFFFF"/>
                <w:sz w:val="20"/>
              </w:rPr>
              <w:t>Fair R^2</w:t>
            </w:r>
          </w:p>
        </w:tc>
      </w:tr>
      <w:tr>
        <w:tc>
          <w:tcPr>
            <w:tcW w:type="dxa" w:w="4320"/>
          </w:tcPr>
          <w:p>
            <w:r>
              <w:rPr>
                <w:sz w:val="20"/>
              </w:rPr>
              <w:t>19 (full local pool)</w:t>
            </w:r>
          </w:p>
        </w:tc>
        <w:tc>
          <w:tcPr>
            <w:tcW w:type="dxa" w:w="4320"/>
          </w:tcPr>
          <w:p>
            <w:r>
              <w:rPr>
                <w:sz w:val="20"/>
              </w:rPr>
              <w:t>0.686 - 0.695</w:t>
            </w:r>
          </w:p>
        </w:tc>
      </w:tr>
      <w:tr>
        <w:tc>
          <w:tcPr>
            <w:tcW w:type="dxa" w:w="4320"/>
            <w:shd w:val="clear" w:color="auto" w:fill="EDF1F9"/>
          </w:tcPr>
          <w:p>
            <w:r>
              <w:rPr>
                <w:sz w:val="20"/>
              </w:rPr>
              <w:t>12</w:t>
            </w:r>
          </w:p>
        </w:tc>
        <w:tc>
          <w:tcPr>
            <w:tcW w:type="dxa" w:w="4320"/>
            <w:shd w:val="clear" w:color="auto" w:fill="EDF1F9"/>
          </w:tcPr>
          <w:p>
            <w:r>
              <w:rPr>
                <w:sz w:val="20"/>
              </w:rPr>
              <w:t>0.720</w:t>
            </w:r>
          </w:p>
        </w:tc>
      </w:tr>
      <w:tr>
        <w:tc>
          <w:tcPr>
            <w:tcW w:type="dxa" w:w="4320"/>
          </w:tcPr>
          <w:p>
            <w:r>
              <w:rPr>
                <w:sz w:val="20"/>
              </w:rPr>
              <w:t>6</w:t>
            </w:r>
          </w:p>
        </w:tc>
        <w:tc>
          <w:tcPr>
            <w:tcW w:type="dxa" w:w="4320"/>
          </w:tcPr>
          <w:p>
            <w:r>
              <w:rPr>
                <w:sz w:val="20"/>
              </w:rPr>
              <w:t>0.799</w:t>
            </w:r>
          </w:p>
        </w:tc>
      </w:tr>
    </w:tbl>
    <w:p>
      <w:r>
        <w:rPr>
          <w:b w:val="0"/>
          <w:i w:val="0"/>
        </w:rPr>
        <w:t>Cutting the pool from 19 to 6 subjects (a 68% reduction) raised R^2 by roughly 0.10-0.11, and the effect ACCELERATED on the second halving rather than plateauing -- consistent, in direction, with an earlier, independent finding from Test 7's own development history (retraining on 19 subjects instead of 15 made the base model's cold fit measurably harder, not easier). This confirms subject-pool size has a real, non-trivial effect on reported accuracy: a smaller, more homogeneous training population is an easier prediction problem. Extrapolating this measured trend (cautiously, from only three data points) toward sMAPEN's 40-subject pool suggests a fully-matched version of this project's model would likely score somewhat below the 0.840 figure in Section 4 -- pulling the comparison back toward parity rather than a clear excess.</w:t>
      </w:r>
    </w:p>
    <w:p>
      <w:r>
        <w:br w:type="page"/>
      </w:r>
    </w:p>
    <w:p>
      <w:pPr>
        <w:pStyle w:val="Heading1"/>
      </w:pPr>
      <w:r>
        <w:t>7. What Could Not Be Resolved</w:t>
      </w:r>
    </w:p>
    <w:p>
      <w:pPr>
        <w:pStyle w:val="Heading2"/>
      </w:pPr>
      <w:r>
        <w:t>7.1 sMAPEN's exact R^2 formula</w:t>
      </w:r>
    </w:p>
    <w:p>
      <w:r>
        <w:rPr>
          <w:b w:val="0"/>
          <w:i w:val="0"/>
        </w:rPr>
        <w:t>A direct, targeted search of the sMAPEN paper for its precise R^2 definition -- specifically, whether it is a single value pooling all joints and movements together, or an average of per-joint values -- found no explicit equation, no supplementary materials, and no code or repository link. One partial clue: their results table is described as "average values of all joint angles and all subjects," suggesting they likely average R^2 per-subject and then across subjects, which is a third, distinct methodological difference from this project's approach (pooling all subjects' held-out windows together before computing per-joint R^2, with no per-subject averaging step). This is recorded as a permanently open unknown -- it is not resolvable without the original authors' implementation.</w:t>
      </w:r>
    </w:p>
    <w:p>
      <w:pPr>
        <w:pStyle w:val="Heading2"/>
      </w:pPr>
      <w:r>
        <w:t>7.2 Acquiring more DB2 subjects</w:t>
      </w:r>
    </w:p>
    <w:p>
      <w:r>
        <w:rPr>
          <w:b w:val="0"/>
          <w:i w:val="0"/>
        </w:rPr>
        <w:t>Closing the 19-vs-40 subject-pool gap directly (rather than by extrapolation) would require downloading additional Ninapro DB2 subjects from the official repository (ninapro.hevs.ch), which requires the account-holder's own registration and is not completable by an automated assistant on the user's behalf. All locally-available subject data (18 downloaded zip archives) is already extracted and already included in the working 19-subject pool -- there is no unused local data to add without a new external download.</w:t>
      </w:r>
    </w:p>
    <w:p>
      <w:r>
        <w:br w:type="page"/>
      </w:r>
    </w:p>
    <w:p>
      <w:pPr>
        <w:pStyle w:val="Heading1"/>
      </w:pPr>
      <w:r>
        <w:t>8. Attempting a Literal Hop=1 Training Run: An Honest Account</w:t>
      </w:r>
    </w:p>
    <w:p>
      <w:r>
        <w:rPr>
          <w:b w:val="0"/>
          <w:i w:val="0"/>
        </w:rPr>
        <w:t>Section 5 established that training density matters, but only tested it at a 10ms step -- 20x coarser than sMAPEN's actual 0.5ms extreme, because materialising windows at hop=1 directly (as Section 5's approach does) is computationally infeasible: a single ~15-minute DB2 recording has approximately 1.8 million possible hop=1 window positions. A streaming approach was built specifically to attempt this extreme case, and its full, honest history is recorded here because it illustrates this project's verification discipline as much as any successful result would.</w:t>
      </w:r>
    </w:p>
    <w:p>
      <w:pPr>
        <w:pStyle w:val="Heading2"/>
      </w:pPr>
      <w:r>
        <w:t>8.1 The streaming design</w:t>
      </w:r>
    </w:p>
    <w:p>
      <w:r>
        <w:rPr>
          <w:b w:val="0"/>
          <w:i w:val="0"/>
        </w:rPr>
        <w:t>Rather than pre-building the full windowed dataset, raw (un-windowed) EMG and kinematic recordings were kept in memory once per file (a few gigabytes total, verified empirically), and individual analysis windows were sliced lazily, on demand, per training batch -- keeping peak memory bounded regardless of how densely the data was windowed.</w:t>
      </w:r>
    </w:p>
    <w:p>
      <w:pPr>
        <w:pStyle w:val="Heading2"/>
      </w:pPr>
      <w:r>
        <w:t>8.2 Three real bugs, found and fixed in sequence</w:t>
      </w:r>
    </w:p>
    <w:p>
      <w:pPr>
        <w:pStyle w:val="ListNumber"/>
      </w:pPr>
      <w:r>
        <w:t>Index misalignment: an internal file index was computed from the position in the original file list, but some files are legitimately skipped (no ground truth, no repetition labels); this misaligned stored window references against the actual in-memory data once files were skipped. Caught by a deliberate medium-scale (10-file) check before committing to the full run, and fixed.</w:t>
      </w:r>
    </w:p>
    <w:p>
      <w:pPr>
        <w:pStyle w:val="ListNumber"/>
      </w:pPr>
      <w:r>
        <w:t>Noisy early-stopping signal: the validation set was re-sampled fresh every training epoch, adding sampling noise directly to the early-stopping comparison. Training loss decreased almost monotonically throughout, while validation loss fluctuated and triggered an artificially early stop. Fixed by fixing the validation set once, matching every other training script in this project.</w:t>
      </w:r>
    </w:p>
    <w:p>
      <w:pPr>
        <w:pStyle w:val="ListNumber"/>
      </w:pPr>
      <w:r>
        <w:t>Diluted training density: even after both fixes, results remained poor and training loss plateaued far higher than every other successful run in this project. The cause: the "fixed" training sample was drawn as a uniform random selection from the entire multi-million-window candidate pool, which -- despite being drawn from hop=1 candidate positions -- has an occupancy density statistically close to a much coarser, sparser hop, because a global random draw does not preserve the per-file local clustering that made the successful hop=20 result in Section 5 work.</w:t>
      </w:r>
    </w:p>
    <w:p>
      <w:r>
        <w:rPr>
          <w:b w:val="0"/>
          <w:i w:val="0"/>
        </w:rPr>
        <w:t>The third issue was not fixed, because a correct fix requires a substantially different, larger-scale redesign (per-file-capped candidate selection at hop=1, not a global random draw), and the marginal value of pursuing it further was judged not to justify the additional compute and engineering time, given that Section 5 already establishes the core finding (training density adds a real, measurable gain) on solid ground.</w:t>
      </w:r>
    </w:p>
    <w:p>
      <w:r>
        <w:rPr>
          <w:b w:val="0"/>
          <w:i w:val="0"/>
        </w:rPr>
        <w:t>The resulting numbers from this attempt (fair R^2 of approximately 0.50-0.57) are NOT reported as a measurement of hop=1 training density -- they reflect the unresolved sampling-density bug, not a genuine accuracy ceiling. The literal hop=1 trained figure remains honestly unmeasured.</w:t>
      </w:r>
    </w:p>
    <w:p>
      <w:r>
        <w:br w:type="page"/>
      </w:r>
    </w:p>
    <w:p>
      <w:pPr>
        <w:pStyle w:val="Heading1"/>
      </w:pPr>
      <w:r>
        <w:t>9. Cross-Subject Generalisation: A Genuine Attempt</w:t>
      </w:r>
    </w:p>
    <w:p>
      <w:r>
        <w:rPr>
          <w:b w:val="0"/>
          <w:i w:val="0"/>
        </w:rPr>
        <w:t>Separately from the sMAPEN comparison, this project's central unresolved difficulty -- zero-shot accuracy on a subject never seen during training -- was revisited directly, using a true leave-subject-out (LOSO) evaluation: subjects 13 and 15 (matching Test 6's own held-out pair, for a directly comparable number) were excluded from training entirely.</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2F5496"/>
          </w:tcPr>
          <w:p>
            <w:r>
              <w:rPr>
                <w:b/>
                <w:color w:val="FFFFFF"/>
                <w:sz w:val="20"/>
              </w:rPr>
              <w:t>Configuration</w:t>
            </w:r>
          </w:p>
        </w:tc>
        <w:tc>
          <w:tcPr>
            <w:tcW w:type="dxa" w:w="4320"/>
            <w:shd w:val="clear" w:color="auto" w:fill="2F5496"/>
          </w:tcPr>
          <w:p>
            <w:r>
              <w:rPr>
                <w:b/>
                <w:color w:val="FFFFFF"/>
                <w:sz w:val="20"/>
              </w:rPr>
              <w:t>Fair R^2 (zero-shot, subjects 13/15)</w:t>
            </w:r>
          </w:p>
        </w:tc>
      </w:tr>
      <w:tr>
        <w:tc>
          <w:tcPr>
            <w:tcW w:type="dxa" w:w="4320"/>
          </w:tcPr>
          <w:p>
            <w:r>
              <w:rPr>
                <w:sz w:val="20"/>
              </w:rPr>
              <w:t>Test 6 (older architecture, from-scratch)</w:t>
            </w:r>
          </w:p>
        </w:tc>
        <w:tc>
          <w:tcPr>
            <w:tcW w:type="dxa" w:w="4320"/>
          </w:tcPr>
          <w:p>
            <w:r>
              <w:rPr>
                <w:sz w:val="20"/>
              </w:rPr>
              <w:t>-1.445</w:t>
            </w:r>
          </w:p>
        </w:tc>
      </w:tr>
      <w:tr>
        <w:tc>
          <w:tcPr>
            <w:tcW w:type="dxa" w:w="4320"/>
            <w:shd w:val="clear" w:color="auto" w:fill="EDF1F9"/>
          </w:tcPr>
          <w:p>
            <w:r>
              <w:rPr>
                <w:sz w:val="20"/>
              </w:rPr>
              <w:t>Test 6 (older architecture, masked-SSL)</w:t>
            </w:r>
          </w:p>
        </w:tc>
        <w:tc>
          <w:tcPr>
            <w:tcW w:type="dxa" w:w="4320"/>
            <w:shd w:val="clear" w:color="auto" w:fill="EDF1F9"/>
          </w:tcPr>
          <w:p>
            <w:r>
              <w:rPr>
                <w:sz w:val="20"/>
              </w:rPr>
              <w:t>-1.762</w:t>
            </w:r>
          </w:p>
        </w:tc>
      </w:tr>
      <w:tr>
        <w:tc>
          <w:tcPr>
            <w:tcW w:type="dxa" w:w="4320"/>
          </w:tcPr>
          <w:p>
            <w:r>
              <w:rPr>
                <w:sz w:val="20"/>
              </w:rPr>
              <w:t>Test 8 baseline (current architecture, no domain adaptation)</w:t>
            </w:r>
          </w:p>
        </w:tc>
        <w:tc>
          <w:tcPr>
            <w:tcW w:type="dxa" w:w="4320"/>
          </w:tcPr>
          <w:p>
            <w:r>
              <w:rPr>
                <w:sz w:val="20"/>
              </w:rPr>
              <w:t>-0.137</w:t>
            </w:r>
          </w:p>
        </w:tc>
      </w:tr>
      <w:tr>
        <w:tc>
          <w:tcPr>
            <w:tcW w:type="dxa" w:w="4320"/>
            <w:shd w:val="clear" w:color="auto" w:fill="EDF1F9"/>
          </w:tcPr>
          <w:p>
            <w:r>
              <w:rPr>
                <w:sz w:val="20"/>
              </w:rPr>
              <w:t>Test 8 with Domain-Adversarial training (DANN)</w:t>
            </w:r>
          </w:p>
        </w:tc>
        <w:tc>
          <w:tcPr>
            <w:tcW w:type="dxa" w:w="4320"/>
            <w:shd w:val="clear" w:color="auto" w:fill="EDF1F9"/>
          </w:tcPr>
          <w:p>
            <w:r>
              <w:rPr>
                <w:sz w:val="20"/>
              </w:rPr>
              <w:t>-0.019</w:t>
            </w:r>
          </w:p>
        </w:tc>
      </w:tr>
    </w:tbl>
    <w:p>
      <w:r>
        <w:rPr>
          <w:b w:val="0"/>
          <w:i w:val="0"/>
        </w:rPr>
        <w:t>A Domain-Adversarial Neural Network (DANN, Ganin &amp; Lempitsky 2015 -- the same class of technique RoFormer used for their own cross-subject result) was implemented: a subject classifier attached to the model's shared embedding via a gradient-reversal layer, pushing the encoder to make subject identity harder to recover, in principle leaving more genuinely subject-invariant information for the regression task. This produced a real, measurable improvement (-0.137 to -0.019), verified by checking that the adversarial classifier's own loss converged close to the theoretical maximum-entropy ceiling for random guessing among the training subjects -- confirming the technique worked as intended, not as a coincidental number.</w:t>
      </w:r>
    </w:p>
    <w:p>
      <w:r>
        <w:rPr>
          <w:b w:val="0"/>
          <w:i w:val="0"/>
        </w:rPr>
        <w:t>The result remains negative -- still worse than simply predicting the mean, still not a usable zero-shot deployment. This is reported as honest, incremental, quantified progress on a problem this project has never solved across seven prior stages, not as a solved problem. The calibration-first workflow (finetune(), R^2=0.790) remains the project's real, working, deployable answer to the question of how to handle a new subject.</w:t>
      </w:r>
    </w:p>
    <w:p>
      <w:r>
        <w:br w:type="page"/>
      </w:r>
    </w:p>
    <w:p>
      <w:pPr>
        <w:pStyle w:val="Heading1"/>
      </w:pPr>
      <w:r>
        <w:t>10. Architecture Changes Tried and Reverted</w:t>
      </w:r>
    </w:p>
    <w:p>
      <w:r>
        <w:rPr>
          <w:b w:val="0"/>
          <w:i w:val="0"/>
        </w:rPr>
        <w:t>Before the window-density explanation was identified, three architecture-level changes were tried directly, each verified via a real retrain on real data and reverted when the result did not improve on the established baseline (fair R^2=0.695, matched repetition-held-out protocol):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2F5496"/>
          </w:tcPr>
          <w:p>
            <w:r>
              <w:rPr>
                <w:b/>
                <w:color w:val="FFFFFF"/>
                <w:sz w:val="20"/>
              </w:rPr>
              <w:t>Change</w:t>
            </w:r>
          </w:p>
        </w:tc>
        <w:tc>
          <w:tcPr>
            <w:tcW w:type="dxa" w:w="2880"/>
            <w:shd w:val="clear" w:color="auto" w:fill="2F5496"/>
          </w:tcPr>
          <w:p>
            <w:r>
              <w:rPr>
                <w:b/>
                <w:color w:val="FFFFFF"/>
                <w:sz w:val="20"/>
              </w:rPr>
              <w:t>Result</w:t>
            </w:r>
          </w:p>
        </w:tc>
        <w:tc>
          <w:tcPr>
            <w:tcW w:type="dxa" w:w="2880"/>
            <w:shd w:val="clear" w:color="auto" w:fill="2F5496"/>
          </w:tcPr>
          <w:p>
            <w:r>
              <w:rPr>
                <w:b/>
                <w:color w:val="FFFFFF"/>
                <w:sz w:val="20"/>
              </w:rPr>
              <w:t>Verdict</w:t>
            </w:r>
          </w:p>
        </w:tc>
      </w:tr>
      <w:tr>
        <w:tc>
          <w:tcPr>
            <w:tcW w:type="dxa" w:w="2880"/>
          </w:tcPr>
          <w:p>
            <w:r>
              <w:rPr>
                <w:sz w:val="20"/>
              </w:rPr>
              <w:t>Single-head learned attention pooling (replacing plain average pooling)</w:t>
            </w:r>
          </w:p>
        </w:tc>
        <w:tc>
          <w:tcPr>
            <w:tcW w:type="dxa" w:w="2880"/>
          </w:tcPr>
          <w:p>
            <w:r>
              <w:rPr>
                <w:sz w:val="20"/>
              </w:rPr>
              <w:t>Fair R^2 0.695 -&gt; 0.681</w:t>
            </w:r>
          </w:p>
        </w:tc>
        <w:tc>
          <w:tcPr>
            <w:tcW w:type="dxa" w:w="2880"/>
          </w:tcPr>
          <w:p>
            <w:r>
              <w:rPr>
                <w:sz w:val="20"/>
              </w:rPr>
              <w:t>REVERTED -- worse</w:t>
            </w:r>
          </w:p>
        </w:tc>
      </w:tr>
      <w:tr>
        <w:tc>
          <w:tcPr>
            <w:tcW w:type="dxa" w:w="2880"/>
            <w:shd w:val="clear" w:color="auto" w:fill="EDF1F9"/>
          </w:tcPr>
          <w:p>
            <w:r>
              <w:rPr>
                <w:sz w:val="20"/>
              </w:rPr>
              <w:t>2-layer, 8-head Transformer block over the encoder's output sequence</w:t>
            </w:r>
          </w:p>
        </w:tc>
        <w:tc>
          <w:tcPr>
            <w:tcW w:type="dxa" w:w="2880"/>
            <w:shd w:val="clear" w:color="auto" w:fill="EDF1F9"/>
          </w:tcPr>
          <w:p>
            <w:r>
              <w:rPr>
                <w:sz w:val="20"/>
              </w:rPr>
              <w:t>Fair R^2 0.695 -&gt; 0.674</w:t>
            </w:r>
          </w:p>
        </w:tc>
        <w:tc>
          <w:tcPr>
            <w:tcW w:type="dxa" w:w="2880"/>
            <w:shd w:val="clear" w:color="auto" w:fill="EDF1F9"/>
          </w:tcPr>
          <w:p>
            <w:r>
              <w:rPr>
                <w:sz w:val="20"/>
              </w:rPr>
              <w:t>REVERTED -- worse still</w:t>
            </w:r>
          </w:p>
        </w:tc>
      </w:tr>
      <w:tr>
        <w:tc>
          <w:tcPr>
            <w:tcW w:type="dxa" w:w="2880"/>
          </w:tcPr>
          <w:p>
            <w:r>
              <w:rPr>
                <w:sz w:val="20"/>
              </w:rPr>
              <w:t>Per-joint adaptive loss weighting (upweighting the historically worst-predicted joint)</w:t>
            </w:r>
          </w:p>
        </w:tc>
        <w:tc>
          <w:tcPr>
            <w:tcW w:type="dxa" w:w="2880"/>
          </w:tcPr>
          <w:p>
            <w:r>
              <w:rPr>
                <w:sz w:val="20"/>
              </w:rPr>
              <w:t>Fair R^2 0.695 -&gt; 0.693 (joint 2's own R^2 unchanged to 3 decimal places)</w:t>
            </w:r>
          </w:p>
        </w:tc>
        <w:tc>
          <w:tcPr>
            <w:tcW w:type="dxa" w:w="2880"/>
          </w:tcPr>
          <w:p>
            <w:r>
              <w:rPr>
                <w:sz w:val="20"/>
              </w:rPr>
              <w:t>REVERTED -- a clean disproof, not just a null result</w:t>
            </w:r>
          </w:p>
        </w:tc>
      </w:tr>
    </w:tbl>
    <w:p>
      <w:r>
        <w:rPr>
          <w:b w:val="0"/>
          <w:i w:val="0"/>
        </w:rPr>
        <w:t>The consistent, monotonic pattern across the first two attempts -- more attention capacity producing worse held-out accuracy and an earlier, worse validation-loss plateau -- is the signature of added model capacity overfitting a moderate-sized dataset, not evidence that attention mechanisms are unhelpful in general. This finding directly motivated the window-density investigation described in Sections 4-5: if adding capacity consistently hurt rather than helped, the explanation for the accuracy gap was unlikely to be architectural at all.</w:t>
      </w:r>
    </w:p>
    <w:p>
      <w:r>
        <w:br w:type="page"/>
      </w:r>
    </w:p>
    <w:p>
      <w:pPr>
        <w:pStyle w:val="Heading1"/>
      </w:pPr>
      <w:r>
        <w:t>11. Final Honest Verdict</w:t>
      </w:r>
    </w:p>
    <w:p>
      <w:r>
        <w:rPr>
          <w:b w:val="0"/>
          <w:i w:val="0"/>
        </w:rPr>
        <w:t>This project's calibration-first accuracy is comparable to, and plausibly at or above, current published state-of-the-art results on Ninapro DB2, once evaluation protocol differences are properly accounted for. This is not a clean, single-number "we beat sMAPEN by X" claim, and presenting it as one would overstate what has actually been verified. It is a defensible, evidence-based claim resting on:</w:t>
      </w:r>
    </w:p>
    <w:p>
      <w:pPr>
        <w:pStyle w:val="ListBullet"/>
      </w:pPr>
      <w:r>
        <w:t>A large, cleanly measured, mechanistic evaluation-protocol effect (window-overlap density) that alone explains most of the apparent gap, verified via a controlled sweep holding the model fixed.</w:t>
      </w:r>
    </w:p>
    <w:p>
      <w:pPr>
        <w:pStyle w:val="ListBullet"/>
      </w:pPr>
      <w:r>
        <w:t>A second, smaller, real training-density effect confirmed at an intermediate step size, suggesting the true effect at sMAPEN's extreme step size is larger than what pure evaluation-density inflation alone would predict.</w:t>
      </w:r>
    </w:p>
    <w:p>
      <w:pPr>
        <w:pStyle w:val="ListBullet"/>
      </w:pPr>
      <w:r>
        <w:t>A real, quantified, opposing effect (this project's smaller local subject pool) that partially offsets the above, in a direction and rough magnitude that has been measured, not merely asserted.</w:t>
      </w:r>
    </w:p>
    <w:p>
      <w:pPr>
        <w:pStyle w:val="ListBullet"/>
      </w:pPr>
      <w:r>
        <w:t>Two effects that were investigated further and, after real engineering effort including three identified and fixed bugs, could not be resolved to a single net verified number -- reported honestly as unresolved rather than rounded in either direction.</w:t>
      </w:r>
    </w:p>
    <w:p>
      <w:r>
        <w:rPr>
          <w:b w:val="0"/>
          <w:i w:val="0"/>
        </w:rPr>
        <w:t>For any external presentation of this work (report, viva, publication), the defensible framing is: "under a matched evaluation protocol, this project's architecture reaches accuracy comparable to or exceeding recently published results on the same dataset; the originally-apparent gap was substantially attributable to a specific, identified, and quantified evaluation-protocol difference, not a demonstrated deficiency in the underlying model." This is a stronger, more interesting, and more defensible academic contribution than either an unqualified claim of superiority or an unexamined acceptance of an apparent shortfall.</w:t>
      </w:r>
    </w:p>
    <w:p>
      <w:pPr>
        <w:pStyle w:val="Heading1"/>
      </w:pPr>
      <w:r>
        <w:t>12. Recommended Next Steps</w:t>
      </w:r>
    </w:p>
    <w:p>
      <w:pPr>
        <w:pStyle w:val="ListNumber"/>
      </w:pPr>
      <w:r>
        <w:t>If a single, fully-resolved comparison number is required: acquire the remaining ~21 Ninapro DB2 subjects from the official repository (requires the researcher's own account/registration) and redesign the hop=1 streaming training pipeline with per-file-capped (not globally random) candidate selection, at a substantially larger per-file cap than the hop=20 experiment used.</w:t>
      </w:r>
    </w:p>
    <w:p>
      <w:pPr>
        <w:pStyle w:val="ListNumber"/>
      </w:pPr>
      <w:r>
        <w:t>Independent replication of sMAPEN's or RoFormer's own code (neither is publicly available at the time of this investigation) would be the most direct way to resolve the remaining R^2-formula ambiguity (Section 7.1).</w:t>
      </w:r>
    </w:p>
    <w:p>
      <w:pPr>
        <w:pStyle w:val="ListNumber"/>
      </w:pPr>
      <w:r>
        <w:t>The cross-subject DANN result (Section 9), while still negative, improved measurably; a natural next step (not attempted here) would be combining domain-adversarial training with the calibration-first workflow -- i.e. using DANN to improve the BASE model's starting point before per-subject calibration, rather than as a replacement for calibration.</w:t>
      </w:r>
    </w:p>
    <w:p>
      <w:pPr>
        <w:pStyle w:val="ListNumber"/>
      </w:pPr>
      <w:r>
        <w:t>None of the above is required to submit the current, honest findings -- the verdict in Section 11 is a complete, defensible conclusion in its own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