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A2584" w14:textId="77777777" w:rsidR="00036D2F" w:rsidRDefault="007A1E29">
      <w:pPr>
        <w:pStyle w:val="Title"/>
        <w:pBdr>
          <w:top w:val="nil"/>
          <w:left w:val="nil"/>
          <w:bottom w:val="nil"/>
          <w:right w:val="nil"/>
          <w:between w:val="nil"/>
        </w:pBdr>
        <w:spacing w:after="0"/>
        <w:rPr>
          <w:rFonts w:ascii="Trebuchet MS" w:eastAsia="Trebuchet MS" w:hAnsi="Trebuchet MS" w:cs="Trebuchet MS"/>
          <w:sz w:val="42"/>
          <w:szCs w:val="42"/>
        </w:rPr>
      </w:pPr>
      <w:bookmarkStart w:id="0" w:name="_x9r3nwhi94vl" w:colFirst="0" w:colLast="0"/>
      <w:bookmarkEnd w:id="0"/>
      <w:r>
        <w:rPr>
          <w:rFonts w:ascii="Trebuchet MS" w:eastAsia="Trebuchet MS" w:hAnsi="Trebuchet MS" w:cs="Trebuchet MS"/>
          <w:sz w:val="42"/>
          <w:szCs w:val="42"/>
        </w:rPr>
        <w:t>DS 735: Communicating About Data</w:t>
      </w:r>
    </w:p>
    <w:p w14:paraId="5F4DFB36" w14:textId="57D1787D" w:rsidR="00036D2F" w:rsidRDefault="007A1E29" w:rsidP="007A1E29">
      <w:pPr>
        <w:pStyle w:val="Title"/>
        <w:pBdr>
          <w:top w:val="nil"/>
          <w:left w:val="nil"/>
          <w:bottom w:val="nil"/>
          <w:right w:val="nil"/>
          <w:between w:val="nil"/>
        </w:pBdr>
        <w:spacing w:after="0"/>
        <w:rPr>
          <w:rFonts w:ascii="Trebuchet MS" w:eastAsia="Trebuchet MS" w:hAnsi="Trebuchet MS" w:cs="Trebuchet MS"/>
          <w:sz w:val="42"/>
          <w:szCs w:val="42"/>
        </w:rPr>
      </w:pPr>
      <w:bookmarkStart w:id="1" w:name="_wxbdokx9jc9d" w:colFirst="0" w:colLast="0"/>
      <w:bookmarkEnd w:id="1"/>
      <w:r>
        <w:rPr>
          <w:rFonts w:ascii="Trebuchet MS" w:eastAsia="Trebuchet MS" w:hAnsi="Trebuchet MS" w:cs="Trebuchet MS"/>
          <w:sz w:val="42"/>
          <w:szCs w:val="42"/>
        </w:rPr>
        <w:t>Writing in Plain Language</w:t>
      </w:r>
    </w:p>
    <w:p w14:paraId="1A084441" w14:textId="77777777" w:rsidR="007A1E29" w:rsidRPr="007A1E29" w:rsidRDefault="007A1E29" w:rsidP="007A1E29"/>
    <w:p w14:paraId="4DAB40D3" w14:textId="77777777" w:rsidR="00036D2F" w:rsidRDefault="007A1E29">
      <w:pPr>
        <w:pBdr>
          <w:top w:val="nil"/>
          <w:left w:val="nil"/>
          <w:bottom w:val="nil"/>
          <w:right w:val="nil"/>
          <w:between w:val="nil"/>
        </w:pBdr>
      </w:pPr>
      <w:r>
        <w:rPr>
          <w:noProof/>
        </w:rPr>
        <w:drawing>
          <wp:inline distT="114300" distB="114300" distL="114300" distR="114300" wp14:anchorId="51555BA9" wp14:editId="52AA460C">
            <wp:extent cx="5943600" cy="4216400"/>
            <wp:effectExtent l="0" t="0" r="0" b="0"/>
            <wp:docPr id="3" name="image7.png" descr="Required_Forms_of_Writing.png"/>
            <wp:cNvGraphicFramePr/>
            <a:graphic xmlns:a="http://schemas.openxmlformats.org/drawingml/2006/main">
              <a:graphicData uri="http://schemas.openxmlformats.org/drawingml/2006/picture">
                <pic:pic xmlns:pic="http://schemas.openxmlformats.org/drawingml/2006/picture">
                  <pic:nvPicPr>
                    <pic:cNvPr id="0" name="image7.png" descr="Required_Forms_of_Writing.png"/>
                    <pic:cNvPicPr preferRelativeResize="0"/>
                  </pic:nvPicPr>
                  <pic:blipFill>
                    <a:blip r:embed="rId5"/>
                    <a:srcRect/>
                    <a:stretch>
                      <a:fillRect/>
                    </a:stretch>
                  </pic:blipFill>
                  <pic:spPr>
                    <a:xfrm>
                      <a:off x="0" y="0"/>
                      <a:ext cx="5943600" cy="4216400"/>
                    </a:xfrm>
                    <a:prstGeom prst="rect">
                      <a:avLst/>
                    </a:prstGeom>
                    <a:ln/>
                  </pic:spPr>
                </pic:pic>
              </a:graphicData>
            </a:graphic>
          </wp:inline>
        </w:drawing>
      </w:r>
    </w:p>
    <w:p w14:paraId="3DE2C24F" w14:textId="77777777" w:rsidR="00036D2F" w:rsidRDefault="007A1E29">
      <w:pPr>
        <w:pBdr>
          <w:top w:val="nil"/>
          <w:left w:val="nil"/>
          <w:bottom w:val="nil"/>
          <w:right w:val="nil"/>
          <w:between w:val="nil"/>
        </w:pBdr>
      </w:pPr>
      <w:r>
        <w:t>Article Excerpt: College Board, Writing: A Ticket to Work...Or a Ticket Out, A Survey of Business Leaders.</w:t>
      </w:r>
    </w:p>
    <w:p w14:paraId="3F451A81" w14:textId="77777777" w:rsidR="00036D2F" w:rsidRDefault="00036D2F">
      <w:pPr>
        <w:pBdr>
          <w:top w:val="nil"/>
          <w:left w:val="nil"/>
          <w:bottom w:val="nil"/>
          <w:right w:val="nil"/>
          <w:between w:val="nil"/>
        </w:pBdr>
      </w:pPr>
    </w:p>
    <w:p w14:paraId="59169D7B" w14:textId="77777777" w:rsidR="00036D2F" w:rsidRDefault="007A1E29">
      <w:pPr>
        <w:pBdr>
          <w:top w:val="nil"/>
          <w:left w:val="nil"/>
          <w:bottom w:val="nil"/>
          <w:right w:val="nil"/>
          <w:between w:val="nil"/>
        </w:pBdr>
      </w:pPr>
      <w:r>
        <w:t xml:space="preserve">Link: </w:t>
      </w:r>
      <w:hyperlink r:id="rId6">
        <w:r>
          <w:rPr>
            <w:color w:val="1155CC"/>
            <w:u w:val="single"/>
          </w:rPr>
          <w:t>https://www.nwp.org/cs/public/download/nwp_file/21479/writing-a-ticket-to-work-or-a-ticket-out.pdf?x-r=pcfile_d</w:t>
        </w:r>
      </w:hyperlink>
    </w:p>
    <w:p w14:paraId="53A4509F" w14:textId="77777777" w:rsidR="00036D2F" w:rsidRDefault="00036D2F">
      <w:pPr>
        <w:pBdr>
          <w:top w:val="nil"/>
          <w:left w:val="nil"/>
          <w:bottom w:val="nil"/>
          <w:right w:val="nil"/>
          <w:between w:val="nil"/>
        </w:pBdr>
      </w:pPr>
    </w:p>
    <w:p w14:paraId="7DE817A7" w14:textId="10D95090" w:rsidR="00036D2F" w:rsidRDefault="007A1E29">
      <w:pPr>
        <w:pBdr>
          <w:top w:val="nil"/>
          <w:left w:val="nil"/>
          <w:bottom w:val="nil"/>
          <w:right w:val="nil"/>
          <w:between w:val="nil"/>
        </w:pBdr>
        <w:rPr>
          <w:rFonts w:ascii="Trebuchet MS" w:eastAsia="Trebuchet MS" w:hAnsi="Trebuchet MS" w:cs="Trebuchet MS"/>
          <w:b/>
          <w:sz w:val="26"/>
          <w:szCs w:val="26"/>
        </w:rPr>
      </w:pPr>
      <w:bookmarkStart w:id="2" w:name="_42i4mo3rjfb9" w:colFirst="0" w:colLast="0"/>
      <w:bookmarkEnd w:id="2"/>
      <w:r>
        <w:rPr>
          <w:rFonts w:ascii="Trebuchet MS" w:eastAsia="Trebuchet MS" w:hAnsi="Trebuchet MS" w:cs="Trebuchet MS"/>
          <w:b/>
          <w:sz w:val="26"/>
          <w:szCs w:val="26"/>
        </w:rPr>
        <w:t>Writing in Plain Language</w:t>
      </w:r>
    </w:p>
    <w:p w14:paraId="4BE04B64" w14:textId="77777777" w:rsidR="00036D2F" w:rsidRDefault="00036D2F">
      <w:pPr>
        <w:pBdr>
          <w:top w:val="nil"/>
          <w:left w:val="nil"/>
          <w:bottom w:val="nil"/>
          <w:right w:val="nil"/>
          <w:between w:val="nil"/>
        </w:pBdr>
      </w:pPr>
    </w:p>
    <w:p w14:paraId="76B9208E" w14:textId="77777777" w:rsidR="00036D2F" w:rsidRDefault="007A1E29">
      <w:pPr>
        <w:numPr>
          <w:ilvl w:val="0"/>
          <w:numId w:val="4"/>
        </w:numPr>
        <w:pBdr>
          <w:top w:val="nil"/>
          <w:left w:val="nil"/>
          <w:bottom w:val="nil"/>
          <w:right w:val="nil"/>
          <w:between w:val="nil"/>
        </w:pBdr>
      </w:pPr>
      <w:r>
        <w:rPr>
          <w:b/>
        </w:rPr>
        <w:t xml:space="preserve">Technical Communicator Competencies. </w:t>
      </w:r>
      <w:r>
        <w:t xml:space="preserve">A great deal of technical and applied research has been conducted to better understand the nature of effective technical communication. The </w:t>
      </w:r>
      <w:hyperlink r:id="rId7">
        <w:r>
          <w:rPr>
            <w:i/>
            <w:color w:val="1155CC"/>
            <w:u w:val="single"/>
          </w:rPr>
          <w:t>Society for Technical Communication</w:t>
        </w:r>
      </w:hyperlink>
      <w:r>
        <w:t xml:space="preserve"> is a professional association dedicated t</w:t>
      </w:r>
      <w:r>
        <w:t xml:space="preserve">o the advancement of technical communication. Let’s consider four technical writing competencies synthesized by Hart-Davidson: experimentation, collaboration, abstraction, and system thinking. </w:t>
      </w:r>
    </w:p>
    <w:p w14:paraId="3722D0A3" w14:textId="77777777" w:rsidR="00036D2F" w:rsidRDefault="00036D2F">
      <w:pPr>
        <w:pBdr>
          <w:top w:val="nil"/>
          <w:left w:val="nil"/>
          <w:bottom w:val="nil"/>
          <w:right w:val="nil"/>
          <w:between w:val="nil"/>
        </w:pBdr>
        <w:ind w:left="720"/>
        <w:rPr>
          <w:b/>
        </w:rPr>
      </w:pPr>
    </w:p>
    <w:p w14:paraId="4DAACA2A" w14:textId="42EBD6D4" w:rsidR="00036D2F" w:rsidRDefault="00036D2F">
      <w:pPr>
        <w:pBdr>
          <w:top w:val="nil"/>
          <w:left w:val="nil"/>
          <w:bottom w:val="nil"/>
          <w:right w:val="nil"/>
          <w:between w:val="nil"/>
        </w:pBdr>
        <w:ind w:left="720"/>
      </w:pPr>
    </w:p>
    <w:p w14:paraId="2C1A9C01" w14:textId="77777777" w:rsidR="00036D2F" w:rsidRDefault="00036D2F">
      <w:pPr>
        <w:pBdr>
          <w:top w:val="nil"/>
          <w:left w:val="nil"/>
          <w:bottom w:val="nil"/>
          <w:right w:val="nil"/>
          <w:between w:val="nil"/>
        </w:pBdr>
        <w:ind w:left="720"/>
      </w:pPr>
    </w:p>
    <w:p w14:paraId="13DF97AD" w14:textId="77777777" w:rsidR="00036D2F" w:rsidRDefault="007A1E29">
      <w:pPr>
        <w:pBdr>
          <w:top w:val="nil"/>
          <w:left w:val="nil"/>
          <w:bottom w:val="nil"/>
          <w:right w:val="nil"/>
          <w:between w:val="nil"/>
        </w:pBdr>
        <w:ind w:left="720"/>
      </w:pPr>
      <w:r>
        <w:t xml:space="preserve">Article Excerpt: On Writing, Technical Communication, and </w:t>
      </w:r>
      <w:r>
        <w:t>Information Technology: The Core Competencies of Technical Communication</w:t>
      </w:r>
    </w:p>
    <w:p w14:paraId="03CA7C00" w14:textId="77777777" w:rsidR="00036D2F" w:rsidRDefault="00036D2F">
      <w:pPr>
        <w:pBdr>
          <w:top w:val="nil"/>
          <w:left w:val="nil"/>
          <w:bottom w:val="nil"/>
          <w:right w:val="nil"/>
          <w:between w:val="nil"/>
        </w:pBdr>
        <w:ind w:left="720"/>
      </w:pPr>
    </w:p>
    <w:p w14:paraId="0A03CFAA" w14:textId="77777777" w:rsidR="00036D2F" w:rsidRDefault="007A1E29">
      <w:pPr>
        <w:pBdr>
          <w:top w:val="nil"/>
          <w:left w:val="nil"/>
          <w:bottom w:val="nil"/>
          <w:right w:val="nil"/>
          <w:between w:val="nil"/>
        </w:pBdr>
        <w:ind w:left="720"/>
      </w:pPr>
      <w:r>
        <w:t xml:space="preserve">Article Link: </w:t>
      </w:r>
      <w:hyperlink r:id="rId8">
        <w:r>
          <w:rPr>
            <w:color w:val="1155CC"/>
            <w:u w:val="single"/>
          </w:rPr>
          <w:t>https://www.msu.edu/~jmonberg/415/Schedule_files/hart-davidson_thecore.pdf</w:t>
        </w:r>
      </w:hyperlink>
    </w:p>
    <w:p w14:paraId="4F42610F" w14:textId="77777777" w:rsidR="00036D2F" w:rsidRDefault="00036D2F">
      <w:pPr>
        <w:pBdr>
          <w:top w:val="nil"/>
          <w:left w:val="nil"/>
          <w:bottom w:val="nil"/>
          <w:right w:val="nil"/>
          <w:between w:val="nil"/>
        </w:pBdr>
        <w:ind w:left="720"/>
      </w:pPr>
    </w:p>
    <w:p w14:paraId="40924E0C" w14:textId="77777777" w:rsidR="00036D2F" w:rsidRDefault="007A1E29">
      <w:pPr>
        <w:pBdr>
          <w:top w:val="nil"/>
          <w:left w:val="nil"/>
          <w:bottom w:val="nil"/>
          <w:right w:val="nil"/>
          <w:between w:val="nil"/>
        </w:pBdr>
        <w:ind w:left="720"/>
      </w:pPr>
      <w:r>
        <w:t xml:space="preserve">Article Citation: Hart-Davidson, W. (2001). On writing, technical communication, and information technology: The core competencies of technical communication. </w:t>
      </w:r>
      <w:r>
        <w:rPr>
          <w:i/>
        </w:rPr>
        <w:t>Technical Communication</w:t>
      </w:r>
      <w:r>
        <w:t>, 48(2), 145-155.</w:t>
      </w:r>
    </w:p>
    <w:p w14:paraId="47C8F4C8" w14:textId="77777777" w:rsidR="00036D2F" w:rsidRDefault="00036D2F">
      <w:pPr>
        <w:pBdr>
          <w:top w:val="nil"/>
          <w:left w:val="nil"/>
          <w:bottom w:val="nil"/>
          <w:right w:val="nil"/>
          <w:between w:val="nil"/>
        </w:pBdr>
        <w:rPr>
          <w:color w:val="222222"/>
          <w:sz w:val="20"/>
          <w:szCs w:val="20"/>
          <w:highlight w:val="white"/>
        </w:rPr>
      </w:pPr>
    </w:p>
    <w:p w14:paraId="03636F02" w14:textId="77777777" w:rsidR="00036D2F" w:rsidRDefault="007A1E29">
      <w:pPr>
        <w:numPr>
          <w:ilvl w:val="0"/>
          <w:numId w:val="4"/>
        </w:numPr>
        <w:pBdr>
          <w:top w:val="nil"/>
          <w:left w:val="nil"/>
          <w:bottom w:val="nil"/>
          <w:right w:val="nil"/>
          <w:between w:val="nil"/>
        </w:pBdr>
      </w:pPr>
      <w:r>
        <w:rPr>
          <w:b/>
        </w:rPr>
        <w:t>Principles of Effective Written Communication</w:t>
      </w:r>
    </w:p>
    <w:p w14:paraId="18A644BE" w14:textId="77777777" w:rsidR="00036D2F" w:rsidRDefault="00036D2F">
      <w:pPr>
        <w:pBdr>
          <w:top w:val="nil"/>
          <w:left w:val="nil"/>
          <w:bottom w:val="nil"/>
          <w:right w:val="nil"/>
          <w:between w:val="nil"/>
        </w:pBdr>
        <w:rPr>
          <w:b/>
        </w:rPr>
      </w:pPr>
    </w:p>
    <w:p w14:paraId="3DA7FC86" w14:textId="77777777" w:rsidR="00036D2F" w:rsidRDefault="007A1E29">
      <w:pPr>
        <w:numPr>
          <w:ilvl w:val="1"/>
          <w:numId w:val="4"/>
        </w:numPr>
        <w:pBdr>
          <w:top w:val="nil"/>
          <w:left w:val="nil"/>
          <w:bottom w:val="nil"/>
          <w:right w:val="nil"/>
          <w:between w:val="nil"/>
        </w:pBdr>
      </w:pPr>
      <w:r>
        <w:rPr>
          <w:u w:val="single"/>
        </w:rPr>
        <w:t xml:space="preserve">9 </w:t>
      </w:r>
      <w:r>
        <w:rPr>
          <w:i/>
          <w:u w:val="single"/>
        </w:rPr>
        <w:t xml:space="preserve">Easy-to-Read NYC </w:t>
      </w:r>
      <w:r>
        <w:rPr>
          <w:u w:val="single"/>
        </w:rPr>
        <w:t>Written Communication Principles</w:t>
      </w:r>
    </w:p>
    <w:p w14:paraId="708F6FCD" w14:textId="77777777" w:rsidR="00036D2F" w:rsidRDefault="007A1E29">
      <w:pPr>
        <w:numPr>
          <w:ilvl w:val="2"/>
          <w:numId w:val="4"/>
        </w:numPr>
        <w:pBdr>
          <w:top w:val="nil"/>
          <w:left w:val="nil"/>
          <w:bottom w:val="nil"/>
          <w:right w:val="nil"/>
          <w:between w:val="nil"/>
        </w:pBdr>
      </w:pPr>
      <w:r>
        <w:t xml:space="preserve">Use a plain language approach to communications </w:t>
      </w:r>
    </w:p>
    <w:p w14:paraId="49C1047B" w14:textId="77777777" w:rsidR="00036D2F" w:rsidRDefault="007A1E29">
      <w:pPr>
        <w:numPr>
          <w:ilvl w:val="2"/>
          <w:numId w:val="4"/>
        </w:numPr>
        <w:pBdr>
          <w:top w:val="nil"/>
          <w:left w:val="nil"/>
          <w:bottom w:val="nil"/>
          <w:right w:val="nil"/>
          <w:between w:val="nil"/>
        </w:pBdr>
      </w:pPr>
      <w:r>
        <w:t xml:space="preserve">Define the purpose of your written document </w:t>
      </w:r>
    </w:p>
    <w:p w14:paraId="0CD5CA03" w14:textId="77777777" w:rsidR="00036D2F" w:rsidRDefault="007A1E29">
      <w:pPr>
        <w:numPr>
          <w:ilvl w:val="2"/>
          <w:numId w:val="4"/>
        </w:numPr>
        <w:pBdr>
          <w:top w:val="nil"/>
          <w:left w:val="nil"/>
          <w:bottom w:val="nil"/>
          <w:right w:val="nil"/>
          <w:between w:val="nil"/>
        </w:pBdr>
      </w:pPr>
      <w:r>
        <w:t xml:space="preserve">Include only important and directly relevant information </w:t>
      </w:r>
    </w:p>
    <w:p w14:paraId="00B39B14" w14:textId="77777777" w:rsidR="00036D2F" w:rsidRDefault="007A1E29">
      <w:pPr>
        <w:numPr>
          <w:ilvl w:val="2"/>
          <w:numId w:val="4"/>
        </w:numPr>
        <w:pBdr>
          <w:top w:val="nil"/>
          <w:left w:val="nil"/>
          <w:bottom w:val="nil"/>
          <w:right w:val="nil"/>
          <w:between w:val="nil"/>
        </w:pBdr>
      </w:pPr>
      <w:r>
        <w:t xml:space="preserve">Use simple language </w:t>
      </w:r>
    </w:p>
    <w:p w14:paraId="0550F468" w14:textId="77777777" w:rsidR="00036D2F" w:rsidRDefault="007A1E29">
      <w:pPr>
        <w:numPr>
          <w:ilvl w:val="2"/>
          <w:numId w:val="4"/>
        </w:numPr>
        <w:pBdr>
          <w:top w:val="nil"/>
          <w:left w:val="nil"/>
          <w:bottom w:val="nil"/>
          <w:right w:val="nil"/>
          <w:between w:val="nil"/>
        </w:pBdr>
      </w:pPr>
      <w:r>
        <w:t xml:space="preserve">Keep sentences and paragraphs short </w:t>
      </w:r>
    </w:p>
    <w:p w14:paraId="0DBCFEB8" w14:textId="77777777" w:rsidR="00036D2F" w:rsidRDefault="007A1E29">
      <w:pPr>
        <w:numPr>
          <w:ilvl w:val="2"/>
          <w:numId w:val="4"/>
        </w:numPr>
        <w:pBdr>
          <w:top w:val="nil"/>
          <w:left w:val="nil"/>
          <w:bottom w:val="nil"/>
          <w:right w:val="nil"/>
          <w:between w:val="nil"/>
        </w:pBdr>
      </w:pPr>
      <w:r>
        <w:t xml:space="preserve">Make it personal </w:t>
      </w:r>
    </w:p>
    <w:p w14:paraId="26849C04" w14:textId="77777777" w:rsidR="00036D2F" w:rsidRDefault="007A1E29">
      <w:pPr>
        <w:numPr>
          <w:ilvl w:val="2"/>
          <w:numId w:val="4"/>
        </w:numPr>
        <w:pBdr>
          <w:top w:val="nil"/>
          <w:left w:val="nil"/>
          <w:bottom w:val="nil"/>
          <w:right w:val="nil"/>
          <w:between w:val="nil"/>
        </w:pBdr>
      </w:pPr>
      <w:r>
        <w:t xml:space="preserve">Use the active voice </w:t>
      </w:r>
    </w:p>
    <w:p w14:paraId="4861FE61" w14:textId="77777777" w:rsidR="00036D2F" w:rsidRDefault="007A1E29">
      <w:pPr>
        <w:numPr>
          <w:ilvl w:val="2"/>
          <w:numId w:val="4"/>
        </w:numPr>
        <w:pBdr>
          <w:top w:val="nil"/>
          <w:left w:val="nil"/>
          <w:bottom w:val="nil"/>
          <w:right w:val="nil"/>
          <w:between w:val="nil"/>
        </w:pBdr>
      </w:pPr>
      <w:r>
        <w:t xml:space="preserve">Use easy-to-read design techniques </w:t>
      </w:r>
    </w:p>
    <w:p w14:paraId="7268B2BE" w14:textId="77777777" w:rsidR="00036D2F" w:rsidRDefault="007A1E29">
      <w:pPr>
        <w:numPr>
          <w:ilvl w:val="2"/>
          <w:numId w:val="4"/>
        </w:numPr>
        <w:pBdr>
          <w:top w:val="nil"/>
          <w:left w:val="nil"/>
          <w:bottom w:val="nil"/>
          <w:right w:val="nil"/>
          <w:between w:val="nil"/>
        </w:pBdr>
      </w:pPr>
      <w:r>
        <w:t>Assess the usability of documents: listen to your readers</w:t>
      </w:r>
    </w:p>
    <w:p w14:paraId="359E0541" w14:textId="77777777" w:rsidR="00036D2F" w:rsidRDefault="00036D2F">
      <w:pPr>
        <w:pBdr>
          <w:top w:val="nil"/>
          <w:left w:val="nil"/>
          <w:bottom w:val="nil"/>
          <w:right w:val="nil"/>
          <w:between w:val="nil"/>
        </w:pBdr>
        <w:ind w:left="1440"/>
      </w:pPr>
    </w:p>
    <w:p w14:paraId="0A3C6D8D" w14:textId="77777777" w:rsidR="00036D2F" w:rsidRDefault="007A1E29">
      <w:pPr>
        <w:numPr>
          <w:ilvl w:val="1"/>
          <w:numId w:val="4"/>
        </w:numPr>
        <w:pBdr>
          <w:top w:val="nil"/>
          <w:left w:val="nil"/>
          <w:bottom w:val="nil"/>
          <w:right w:val="nil"/>
          <w:between w:val="nil"/>
        </w:pBdr>
      </w:pPr>
      <w:r>
        <w:rPr>
          <w:u w:val="single"/>
        </w:rPr>
        <w:t xml:space="preserve">3 Goals of Analytic Writing, </w:t>
      </w:r>
    </w:p>
    <w:p w14:paraId="4B437305" w14:textId="77777777" w:rsidR="00036D2F" w:rsidRDefault="007A1E29">
      <w:pPr>
        <w:numPr>
          <w:ilvl w:val="2"/>
          <w:numId w:val="4"/>
        </w:numPr>
        <w:pBdr>
          <w:top w:val="nil"/>
          <w:left w:val="nil"/>
          <w:bottom w:val="nil"/>
          <w:right w:val="nil"/>
          <w:between w:val="nil"/>
        </w:pBdr>
      </w:pPr>
      <w:r>
        <w:t>Reader should recognize goals or recommendations</w:t>
      </w:r>
    </w:p>
    <w:p w14:paraId="75A05484" w14:textId="77777777" w:rsidR="00036D2F" w:rsidRDefault="007A1E29">
      <w:pPr>
        <w:numPr>
          <w:ilvl w:val="2"/>
          <w:numId w:val="4"/>
        </w:numPr>
        <w:pBdr>
          <w:top w:val="nil"/>
          <w:left w:val="nil"/>
          <w:bottom w:val="nil"/>
          <w:right w:val="nil"/>
          <w:between w:val="nil"/>
        </w:pBdr>
      </w:pPr>
      <w:r>
        <w:t>Reader should be able to judge the quality of the underlying analysis</w:t>
      </w:r>
    </w:p>
    <w:p w14:paraId="22D733A8" w14:textId="77777777" w:rsidR="00036D2F" w:rsidRDefault="007A1E29">
      <w:pPr>
        <w:numPr>
          <w:ilvl w:val="2"/>
          <w:numId w:val="4"/>
        </w:numPr>
        <w:pBdr>
          <w:top w:val="nil"/>
          <w:left w:val="nil"/>
          <w:bottom w:val="nil"/>
          <w:right w:val="nil"/>
          <w:between w:val="nil"/>
        </w:pBdr>
      </w:pPr>
      <w:r>
        <w:t>Document should be an effective tool for the reader</w:t>
      </w:r>
    </w:p>
    <w:p w14:paraId="34E5767E" w14:textId="77777777" w:rsidR="00036D2F" w:rsidRDefault="00036D2F">
      <w:pPr>
        <w:pBdr>
          <w:top w:val="nil"/>
          <w:left w:val="nil"/>
          <w:bottom w:val="nil"/>
          <w:right w:val="nil"/>
          <w:between w:val="nil"/>
        </w:pBdr>
        <w:ind w:left="1440"/>
      </w:pPr>
    </w:p>
    <w:p w14:paraId="61FF9E08" w14:textId="77777777" w:rsidR="00036D2F" w:rsidRDefault="007A1E29">
      <w:pPr>
        <w:numPr>
          <w:ilvl w:val="1"/>
          <w:numId w:val="4"/>
        </w:numPr>
        <w:pBdr>
          <w:top w:val="nil"/>
          <w:left w:val="nil"/>
          <w:bottom w:val="nil"/>
          <w:right w:val="nil"/>
          <w:between w:val="nil"/>
        </w:pBdr>
      </w:pPr>
      <w:r>
        <w:rPr>
          <w:u w:val="single"/>
        </w:rPr>
        <w:t>8 Deadly Sins of Analytic Writing</w:t>
      </w:r>
    </w:p>
    <w:p w14:paraId="265E8614" w14:textId="77777777" w:rsidR="00036D2F" w:rsidRDefault="007A1E29">
      <w:pPr>
        <w:numPr>
          <w:ilvl w:val="2"/>
          <w:numId w:val="4"/>
        </w:numPr>
        <w:pBdr>
          <w:top w:val="nil"/>
          <w:left w:val="nil"/>
          <w:bottom w:val="nil"/>
          <w:right w:val="nil"/>
          <w:between w:val="nil"/>
        </w:pBdr>
      </w:pPr>
      <w:r>
        <w:t>Extravagance--too many words</w:t>
      </w:r>
    </w:p>
    <w:p w14:paraId="134A79B2" w14:textId="77777777" w:rsidR="00036D2F" w:rsidRDefault="007A1E29">
      <w:pPr>
        <w:numPr>
          <w:ilvl w:val="2"/>
          <w:numId w:val="4"/>
        </w:numPr>
        <w:pBdr>
          <w:top w:val="nil"/>
          <w:left w:val="nil"/>
          <w:bottom w:val="nil"/>
          <w:right w:val="nil"/>
          <w:between w:val="nil"/>
        </w:pBdr>
      </w:pPr>
      <w:r>
        <w:t>Gluttony--too much in</w:t>
      </w:r>
      <w:r>
        <w:t>formation</w:t>
      </w:r>
    </w:p>
    <w:p w14:paraId="2B2B5FA2" w14:textId="77777777" w:rsidR="00036D2F" w:rsidRDefault="007A1E29">
      <w:pPr>
        <w:numPr>
          <w:ilvl w:val="2"/>
          <w:numId w:val="4"/>
        </w:numPr>
        <w:pBdr>
          <w:top w:val="nil"/>
          <w:left w:val="nil"/>
          <w:bottom w:val="nil"/>
          <w:right w:val="nil"/>
          <w:between w:val="nil"/>
        </w:pBdr>
      </w:pPr>
      <w:r>
        <w:t>Sloth--making the reader do your job</w:t>
      </w:r>
    </w:p>
    <w:p w14:paraId="3A0085A5" w14:textId="77777777" w:rsidR="00036D2F" w:rsidRDefault="007A1E29">
      <w:pPr>
        <w:numPr>
          <w:ilvl w:val="2"/>
          <w:numId w:val="4"/>
        </w:numPr>
        <w:pBdr>
          <w:top w:val="nil"/>
          <w:left w:val="nil"/>
          <w:bottom w:val="nil"/>
          <w:right w:val="nil"/>
          <w:between w:val="nil"/>
        </w:pBdr>
      </w:pPr>
      <w:r>
        <w:t>Confusion--lack of clarity or purpose</w:t>
      </w:r>
    </w:p>
    <w:p w14:paraId="4113E2D5" w14:textId="77777777" w:rsidR="00036D2F" w:rsidRDefault="007A1E29">
      <w:pPr>
        <w:numPr>
          <w:ilvl w:val="2"/>
          <w:numId w:val="4"/>
        </w:numPr>
        <w:pBdr>
          <w:top w:val="nil"/>
          <w:left w:val="nil"/>
          <w:bottom w:val="nil"/>
          <w:right w:val="nil"/>
          <w:between w:val="nil"/>
        </w:pBdr>
      </w:pPr>
      <w:r>
        <w:t>Anger--vague or emotional writing</w:t>
      </w:r>
    </w:p>
    <w:p w14:paraId="32F1E1B1" w14:textId="77777777" w:rsidR="00036D2F" w:rsidRDefault="007A1E29">
      <w:pPr>
        <w:numPr>
          <w:ilvl w:val="2"/>
          <w:numId w:val="4"/>
        </w:numPr>
        <w:pBdr>
          <w:top w:val="nil"/>
          <w:left w:val="nil"/>
          <w:bottom w:val="nil"/>
          <w:right w:val="nil"/>
          <w:between w:val="nil"/>
        </w:pBdr>
      </w:pPr>
      <w:r>
        <w:t>Pride--style over function</w:t>
      </w:r>
    </w:p>
    <w:p w14:paraId="046C14C0" w14:textId="77777777" w:rsidR="00036D2F" w:rsidRDefault="007A1E29">
      <w:pPr>
        <w:numPr>
          <w:ilvl w:val="2"/>
          <w:numId w:val="4"/>
        </w:numPr>
        <w:pBdr>
          <w:top w:val="nil"/>
          <w:left w:val="nil"/>
          <w:bottom w:val="nil"/>
          <w:right w:val="nil"/>
          <w:between w:val="nil"/>
        </w:pBdr>
      </w:pPr>
      <w:r>
        <w:t>Arrogance--disregarding instructions</w:t>
      </w:r>
    </w:p>
    <w:p w14:paraId="4164CE3C" w14:textId="77777777" w:rsidR="00036D2F" w:rsidRDefault="007A1E29">
      <w:pPr>
        <w:numPr>
          <w:ilvl w:val="2"/>
          <w:numId w:val="4"/>
        </w:numPr>
        <w:pBdr>
          <w:top w:val="nil"/>
          <w:left w:val="nil"/>
          <w:bottom w:val="nil"/>
          <w:right w:val="nil"/>
          <w:between w:val="nil"/>
        </w:pBdr>
      </w:pPr>
      <w:r>
        <w:t>Bonus: Writing sample</w:t>
      </w:r>
    </w:p>
    <w:p w14:paraId="5348AE62" w14:textId="77777777" w:rsidR="00036D2F" w:rsidRDefault="00036D2F">
      <w:pPr>
        <w:pBdr>
          <w:top w:val="nil"/>
          <w:left w:val="nil"/>
          <w:bottom w:val="nil"/>
          <w:right w:val="nil"/>
          <w:between w:val="nil"/>
        </w:pBdr>
        <w:ind w:left="1440"/>
      </w:pPr>
    </w:p>
    <w:p w14:paraId="2656D698" w14:textId="77777777" w:rsidR="00036D2F" w:rsidRDefault="007A1E29">
      <w:pPr>
        <w:numPr>
          <w:ilvl w:val="1"/>
          <w:numId w:val="4"/>
        </w:numPr>
        <w:pBdr>
          <w:top w:val="nil"/>
          <w:left w:val="nil"/>
          <w:bottom w:val="nil"/>
          <w:right w:val="nil"/>
          <w:between w:val="nil"/>
        </w:pBdr>
      </w:pPr>
      <w:r>
        <w:rPr>
          <w:u w:val="single"/>
        </w:rPr>
        <w:t>5 Steps of Plain Language Writing</w:t>
      </w:r>
    </w:p>
    <w:p w14:paraId="6C735BC2" w14:textId="77777777" w:rsidR="00036D2F" w:rsidRDefault="007A1E29">
      <w:pPr>
        <w:numPr>
          <w:ilvl w:val="2"/>
          <w:numId w:val="4"/>
        </w:numPr>
        <w:pBdr>
          <w:top w:val="nil"/>
          <w:left w:val="nil"/>
          <w:bottom w:val="nil"/>
          <w:right w:val="nil"/>
          <w:between w:val="nil"/>
        </w:pBdr>
      </w:pPr>
      <w:r>
        <w:t>Step 1: Identify and describe the target audience. The audience definition works when you know who you are and are not designing for, what they want to do, and what they know and need to learn.</w:t>
      </w:r>
    </w:p>
    <w:p w14:paraId="209419D0" w14:textId="77777777" w:rsidR="00036D2F" w:rsidRDefault="007A1E29">
      <w:pPr>
        <w:numPr>
          <w:ilvl w:val="2"/>
          <w:numId w:val="4"/>
        </w:numPr>
        <w:pBdr>
          <w:top w:val="nil"/>
          <w:left w:val="nil"/>
          <w:bottom w:val="nil"/>
          <w:right w:val="nil"/>
          <w:between w:val="nil"/>
        </w:pBdr>
      </w:pPr>
      <w:r>
        <w:lastRenderedPageBreak/>
        <w:t>Step 2: Structure the conten</w:t>
      </w:r>
      <w:r>
        <w:t>t to guide the reader through it. The structure works when readers can quickly and confidently find the information they are looking for.</w:t>
      </w:r>
    </w:p>
    <w:p w14:paraId="6CAF0F9C" w14:textId="77777777" w:rsidR="00036D2F" w:rsidRDefault="007A1E29">
      <w:pPr>
        <w:numPr>
          <w:ilvl w:val="2"/>
          <w:numId w:val="4"/>
        </w:numPr>
        <w:pBdr>
          <w:top w:val="nil"/>
          <w:left w:val="nil"/>
          <w:bottom w:val="nil"/>
          <w:right w:val="nil"/>
          <w:between w:val="nil"/>
        </w:pBdr>
      </w:pPr>
      <w:r>
        <w:t>Step 3: Write the content in plain language.</w:t>
      </w:r>
      <w:r>
        <w:tab/>
      </w:r>
    </w:p>
    <w:p w14:paraId="12F6C5B7" w14:textId="77777777" w:rsidR="00036D2F" w:rsidRDefault="007A1E29">
      <w:pPr>
        <w:numPr>
          <w:ilvl w:val="2"/>
          <w:numId w:val="4"/>
        </w:numPr>
        <w:pBdr>
          <w:top w:val="nil"/>
          <w:left w:val="nil"/>
          <w:bottom w:val="nil"/>
          <w:right w:val="nil"/>
          <w:between w:val="nil"/>
        </w:pBdr>
      </w:pPr>
      <w:r>
        <w:t>Step 4: Use information design to help readers see and understand. The d</w:t>
      </w:r>
      <w:r>
        <w:t>esign works when users notice and use the signposts to move through the information efficiently.</w:t>
      </w:r>
      <w:r>
        <w:tab/>
      </w:r>
    </w:p>
    <w:p w14:paraId="200BC2A4" w14:textId="77777777" w:rsidR="00036D2F" w:rsidRDefault="007A1E29">
      <w:pPr>
        <w:numPr>
          <w:ilvl w:val="2"/>
          <w:numId w:val="4"/>
        </w:numPr>
        <w:pBdr>
          <w:top w:val="nil"/>
          <w:left w:val="nil"/>
          <w:bottom w:val="nil"/>
          <w:right w:val="nil"/>
          <w:between w:val="nil"/>
        </w:pBdr>
      </w:pPr>
      <w:r>
        <w:t>Step 5: Work with the target user groups to test the design and content. The document or site works when target users can find what they need, understand what</w:t>
      </w:r>
      <w:r>
        <w:t xml:space="preserve"> they find, and act on it confidently.</w:t>
      </w:r>
    </w:p>
    <w:p w14:paraId="6C9846AC" w14:textId="77777777" w:rsidR="007A1E29" w:rsidRDefault="007A1E29" w:rsidP="007A1E29">
      <w:pPr>
        <w:pBdr>
          <w:top w:val="nil"/>
          <w:left w:val="nil"/>
          <w:bottom w:val="nil"/>
          <w:right w:val="nil"/>
          <w:between w:val="nil"/>
        </w:pBdr>
      </w:pPr>
      <w:bookmarkStart w:id="3" w:name="_pb06jenjye1o" w:colFirst="0" w:colLast="0"/>
      <w:bookmarkEnd w:id="3"/>
    </w:p>
    <w:p w14:paraId="4634CBA2" w14:textId="228D994F" w:rsidR="00036D2F" w:rsidRDefault="007A1E29" w:rsidP="007A1E29">
      <w:pPr>
        <w:pBdr>
          <w:top w:val="nil"/>
          <w:left w:val="nil"/>
          <w:bottom w:val="nil"/>
          <w:right w:val="nil"/>
          <w:between w:val="nil"/>
        </w:pBdr>
        <w:rPr>
          <w:b/>
        </w:rPr>
      </w:pPr>
      <w:r>
        <w:t>3</w:t>
      </w:r>
      <w:r>
        <w:t>.</w:t>
      </w:r>
      <w:r>
        <w:rPr>
          <w:b/>
        </w:rPr>
        <w:t xml:space="preserve"> Website: Plain Language Federal Guidelines</w:t>
      </w:r>
    </w:p>
    <w:p w14:paraId="7274D4D3" w14:textId="77777777" w:rsidR="00036D2F" w:rsidRDefault="007A1E29">
      <w:pPr>
        <w:numPr>
          <w:ilvl w:val="0"/>
          <w:numId w:val="7"/>
        </w:numPr>
        <w:pBdr>
          <w:top w:val="nil"/>
          <w:left w:val="nil"/>
          <w:bottom w:val="nil"/>
          <w:right w:val="nil"/>
          <w:between w:val="nil"/>
        </w:pBdr>
      </w:pPr>
      <w:r>
        <w:t>The use of plain language is spreading in many areas of American culture. Governments at all levels, especially the federal government, are using plain language more extensively.</w:t>
      </w:r>
      <w:r>
        <w:t xml:space="preserve"> </w:t>
      </w:r>
    </w:p>
    <w:p w14:paraId="07158DBB" w14:textId="77777777" w:rsidR="00036D2F" w:rsidRDefault="007A1E29">
      <w:pPr>
        <w:numPr>
          <w:ilvl w:val="0"/>
          <w:numId w:val="7"/>
        </w:numPr>
        <w:pBdr>
          <w:top w:val="nil"/>
          <w:left w:val="nil"/>
          <w:bottom w:val="nil"/>
          <w:right w:val="nil"/>
          <w:between w:val="nil"/>
        </w:pBdr>
      </w:pPr>
      <w:r>
        <w:t xml:space="preserve">Site Link: </w:t>
      </w:r>
      <w:hyperlink r:id="rId9">
        <w:r>
          <w:rPr>
            <w:color w:val="1155CC"/>
            <w:u w:val="single"/>
          </w:rPr>
          <w:t>http://www.plainlanguage.gov/index.cfm</w:t>
        </w:r>
      </w:hyperlink>
    </w:p>
    <w:p w14:paraId="60EAE1C6" w14:textId="77777777" w:rsidR="00036D2F" w:rsidRDefault="00036D2F">
      <w:pPr>
        <w:pBdr>
          <w:top w:val="nil"/>
          <w:left w:val="nil"/>
          <w:bottom w:val="nil"/>
          <w:right w:val="nil"/>
          <w:between w:val="nil"/>
        </w:pBdr>
      </w:pPr>
    </w:p>
    <w:sectPr w:rsidR="00036D2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15B5D"/>
    <w:multiLevelType w:val="multilevel"/>
    <w:tmpl w:val="8E5288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3C74204"/>
    <w:multiLevelType w:val="multilevel"/>
    <w:tmpl w:val="96D614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502224"/>
    <w:multiLevelType w:val="multilevel"/>
    <w:tmpl w:val="DEA4C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103C4E"/>
    <w:multiLevelType w:val="multilevel"/>
    <w:tmpl w:val="7828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03145C"/>
    <w:multiLevelType w:val="multilevel"/>
    <w:tmpl w:val="79D8E7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C2303E"/>
    <w:multiLevelType w:val="multilevel"/>
    <w:tmpl w:val="09E4E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FF03A2E"/>
    <w:multiLevelType w:val="multilevel"/>
    <w:tmpl w:val="79F429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18044D4"/>
    <w:multiLevelType w:val="multilevel"/>
    <w:tmpl w:val="96F4B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D2F"/>
    <w:rsid w:val="00036D2F"/>
    <w:rsid w:val="007A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A58201"/>
  <w15:docId w15:val="{7B3BBFFF-3E20-4129-8427-29852799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msu.edu/~jmonberg/415/Schedule_files/hart-davidson_thecore.pdf" TargetMode="External"/><Relationship Id="rId3" Type="http://schemas.openxmlformats.org/officeDocument/2006/relationships/settings" Target="settings.xml"/><Relationship Id="rId7" Type="http://schemas.openxmlformats.org/officeDocument/2006/relationships/hyperlink" Target="http://www.st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wp.org/cs/public/download/nwp_file/21479/writing-a-ticket-to-work-or-a-ticket-out.pdf?x-r=pcfile_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lainlanguage.gov/index.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tripp</dc:creator>
  <cp:lastModifiedBy>mary tripp</cp:lastModifiedBy>
  <cp:revision>2</cp:revision>
  <dcterms:created xsi:type="dcterms:W3CDTF">2020-10-29T18:39:00Z</dcterms:created>
  <dcterms:modified xsi:type="dcterms:W3CDTF">2020-10-29T18:39:00Z</dcterms:modified>
</cp:coreProperties>
</file>