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AI005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Artificial Intelligence Platform para orquestar inferencias, agentes y conocimiento de forma segura y escalable.</w:t>
      </w:r>
    </w:p>
    <w:p>
      <w:pPr>
        <w:pStyle w:val="Heading3"/>
      </w:pPr>
      <w:r>
        <w:t>Principios</w:t>
      </w:r>
    </w:p>
    <w:p>
      <w:r>
        <w:t>Todas las operaciones críticas se ejecutan mediante Cloud Functions con autenticación, autorización, auditoría, cuotas e idempotencia.</w:t>
      </w:r>
    </w:p>
    <w:p>
      <w:pPr>
        <w:pStyle w:val="Heading3"/>
      </w:pPr>
      <w:r>
        <w:t>Funciones Callable</w:t>
      </w:r>
    </w:p>
    <w:p>
      <w:r>
        <w:t>executeInference, generateRecommendation, predictBusinessMetric, managePromptTemplate, indexKnowledge, queryKnowledgeBase, manageAIAgent y searchInferenceHistory.</w:t>
      </w:r>
    </w:p>
    <w:p>
      <w:pPr>
        <w:pStyle w:val="Heading3"/>
      </w:pPr>
      <w:r>
        <w:t>executeInference</w:t>
      </w:r>
    </w:p>
    <w:p>
      <w:r>
        <w:t>Enviar solicitudes al proveedor configurado y registrar eventos de inferencia.</w:t>
      </w:r>
    </w:p>
    <w:p>
      <w:pPr>
        <w:pStyle w:val="Heading3"/>
      </w:pPr>
      <w:r>
        <w:t>generateRecommendation</w:t>
      </w:r>
    </w:p>
    <w:p>
      <w:r>
        <w:t>Generar recomendaciones utilizando contexto del negocio y RAG cuando corresponda.</w:t>
      </w:r>
    </w:p>
    <w:p>
      <w:pPr>
        <w:pStyle w:val="Heading3"/>
      </w:pPr>
      <w:r>
        <w:t>predictBusinessMetric</w:t>
      </w:r>
    </w:p>
    <w:p>
      <w:r>
        <w:t>Ejecutar modelos predictivos y almacenar resultados auditables.</w:t>
      </w:r>
    </w:p>
    <w:p>
      <w:pPr>
        <w:pStyle w:val="Heading3"/>
      </w:pPr>
      <w:r>
        <w:t>indexKnowledge</w:t>
      </w:r>
    </w:p>
    <w:p>
      <w:r>
        <w:t>Procesar documentos, generar embeddings y actualizar el índice semántico.</w:t>
      </w:r>
    </w:p>
    <w:p>
      <w:pPr>
        <w:pStyle w:val="Heading3"/>
      </w:pPr>
      <w:r>
        <w:t>Triggers</w:t>
      </w:r>
    </w:p>
    <w:p>
      <w:r>
        <w:t>onAppointmentCompleted, onOrderCompleted, onCampaignFinished, onKnowledgeUpdated y onPromptPublished para automatizaciones.</w:t>
      </w:r>
    </w:p>
    <w:p>
      <w:pPr>
        <w:pStyle w:val="Heading3"/>
      </w:pPr>
      <w:r>
        <w:t>Integraciones</w:t>
      </w:r>
    </w:p>
    <w:p>
      <w:r>
        <w:t>OpenAI, Google Gemini, Analytics, CRM, Marketing, Orders, Treatments y Communication Platform mediante adaptadores.</w:t>
      </w:r>
    </w:p>
    <w:p>
      <w:pPr>
        <w:pStyle w:val="Heading3"/>
      </w:pPr>
      <w:r>
        <w:t>Seguridad</w:t>
      </w:r>
    </w:p>
    <w:p>
      <w:r>
        <w:t>Validar identidad, organización, permisos, límites de uso, protección de datos y gestión segura de secretos.</w:t>
      </w:r>
    </w:p>
    <w:p>
      <w:pPr>
        <w:pStyle w:val="Heading3"/>
      </w:pPr>
      <w:r>
        <w:t>Observabilidad</w:t>
      </w:r>
    </w:p>
    <w:p>
      <w:r>
        <w:t>Registrar Correlation ID, proveedor, modelo, tokens, latencia, costo, errores y métricas.</w:t>
      </w:r>
    </w:p>
    <w:p>
      <w:pPr>
        <w:pStyle w:val="Heading3"/>
      </w:pPr>
      <w:r>
        <w:t>Rendimiento</w:t>
      </w:r>
    </w:p>
    <w:p>
      <w:r>
        <w:t>Procesamiento asíncrono, streaming cuando aplique, caché semántica, colas e idempotencia.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Artificial Intelligence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