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AI008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Artificial Intelligence Platform y el orden recomendado de construcción.</w:t>
      </w:r>
    </w:p>
    <w:p>
      <w:pPr>
        <w:pStyle w:val="Heading3"/>
      </w:pPr>
      <w:r>
        <w:t>Dependencias</w:t>
      </w:r>
    </w:p>
    <w:p>
      <w:r>
        <w:t>Core, Firebase, Security, Analytics, CRM, Marketing, Orders, Treatments, Communication Platform, OpenAI y Google Gemini.</w:t>
      </w:r>
    </w:p>
    <w:p>
      <w:pPr>
        <w:pStyle w:val="Heading3"/>
      </w:pPr>
      <w:r>
        <w:t>Objetivos</w:t>
      </w:r>
    </w:p>
    <w:p>
      <w:r>
        <w:t>Aplicar Clean Architecture, SOLID, DDD, Event Driven, RAG, adaptadores desacoplados e idempotencia.</w:t>
      </w:r>
    </w:p>
    <w:p>
      <w:pPr>
        <w:pStyle w:val="Heading3"/>
      </w:pPr>
      <w:r>
        <w:t>Estructura del Módulo</w:t>
      </w:r>
    </w:p>
    <w:p>
      <w:r>
        <w:t>packages/ai con capas domain, application, infrastructure, presentation y tests.</w:t>
      </w:r>
    </w:p>
    <w:p>
      <w:pPr>
        <w:pStyle w:val="Heading3"/>
      </w:pPr>
      <w:r>
        <w:t>Entidades</w:t>
      </w:r>
    </w:p>
    <w:p>
      <w:r>
        <w:t>AIWorkspace, AIAgent, PromptTemplate, KnowledgeSource, InferenceJob y Recommendation.</w:t>
      </w:r>
    </w:p>
    <w:p>
      <w:pPr>
        <w:pStyle w:val="Heading3"/>
      </w:pPr>
      <w:r>
        <w:t>Value Objects</w:t>
      </w:r>
    </w:p>
    <w:p>
      <w:r>
        <w:t>ModelIdentifier, PromptVersion, TokenUsage, EmbeddingVector, ConfidenceScore y CostMetric.</w:t>
      </w:r>
    </w:p>
    <w:p>
      <w:pPr>
        <w:pStyle w:val="Heading3"/>
      </w:pPr>
      <w:r>
        <w:t>Casos de Uso</w:t>
      </w:r>
    </w:p>
    <w:p>
      <w:r>
        <w:t>ExecuteInference, GenerateRecommendation, PredictBusinessMetric, ManagePromptTemplate, IndexKnowledge, QueryKnowledgeBase, ManageAIAgent y SearchInferenceHistory.</w:t>
      </w:r>
    </w:p>
    <w:p>
      <w:pPr>
        <w:pStyle w:val="Heading3"/>
      </w:pPr>
      <w:r>
        <w:t>Cloud Functions</w:t>
      </w:r>
    </w:p>
    <w:p>
      <w:r>
        <w:t>Implementar las funciones definidas en AI005 con validaciones, auditoría, cuotas, caché semántica y procesamiento asíncrono.</w:t>
      </w:r>
    </w:p>
    <w:p>
      <w:pPr>
        <w:pStyle w:val="Heading3"/>
      </w:pPr>
      <w:r>
        <w:t>Frontend</w:t>
      </w:r>
    </w:p>
    <w:p>
      <w:r>
        <w:t>AIWorkspace, PromptStudio, AgentManager, KnowledgeBrowser, InferenceConsole, RecommendationPanel y componentes reutilizando el Design System.</w:t>
      </w:r>
    </w:p>
    <w:p>
      <w:pPr>
        <w:pStyle w:val="Heading3"/>
      </w:pPr>
      <w:r>
        <w:t>Integraciones</w:t>
      </w:r>
    </w:p>
    <w:p>
      <w:r>
        <w:t>OpenAI, Google Gemini, Analytics, CRM, Marketing, Orders, Treatments y Communication Platform mediante adaptadores.</w:t>
      </w:r>
    </w:p>
    <w:p>
      <w:pPr>
        <w:pStyle w:val="Heading3"/>
      </w:pPr>
      <w:r>
        <w:t>Fases</w:t>
      </w:r>
    </w:p>
    <w:p>
      <w:r>
        <w:t>1) Dominio. 2) Infraestructura. 3) Adaptadores LLM. 4) RAG. 5) Cloud Functions. 6) Frontend. 7) Integración, pruebas y optimización.</w:t>
      </w:r>
    </w:p>
    <w:p>
      <w:pPr>
        <w:pStyle w:val="Heading3"/>
      </w:pPr>
      <w:r>
        <w:t>Definition of Ready</w:t>
      </w:r>
    </w:p>
    <w:p>
      <w:r>
        <w:t>Documentación aprobada, credenciales configuradas, contratos definidos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costos, rendimiento, prompts, RAG e integraciones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funcionales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