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8-implementation-playbook"/>
    <w:p>
      <w:pPr>
        <w:pStyle w:val="Heading1"/>
      </w:pPr>
      <w:r>
        <w:t xml:space="preserve">APP008 — IMPLEMENTATION PLAYBOOK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plan oficial de implementación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, estableciendo el orden de desarrollo, los criterios de calidad y los entregables esperados.</w:t>
      </w:r>
    </w:p>
    <w:p>
      <w:pPr>
        <w:pStyle w:val="BodyText"/>
      </w:pPr>
      <w:r>
        <w:t xml:space="preserve">Este documento traduce la arquitectura aprobada en un plan de ejecución para Antigravity, eliminando la necesidad de tomar decisiones arquitectónicas durante la implementación.</w:t>
      </w:r>
    </w:p>
    <w:p>
      <w:r>
        <w:pict>
          <v:rect style="width:0;height:1.5pt" o:hralign="center" o:hrstd="t" o:hr="t"/>
        </w:pict>
      </w:r>
    </w:p>
    <w:bookmarkEnd w:id="22"/>
    <w:bookmarkStart w:id="23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La implementación requiere la disponibilidad de:</w:t>
      </w:r>
    </w:p>
    <w:p>
      <w:pPr>
        <w:pStyle w:val="Compact"/>
        <w:numPr>
          <w:ilvl w:val="0"/>
          <w:numId w:val="1001"/>
        </w:numPr>
      </w:pPr>
      <w:r>
        <w:t xml:space="preserve">CORE001–CORE004</w:t>
      </w:r>
    </w:p>
    <w:p>
      <w:pPr>
        <w:pStyle w:val="Compact"/>
        <w:numPr>
          <w:ilvl w:val="0"/>
          <w:numId w:val="1001"/>
        </w:numPr>
      </w:pPr>
      <w:r>
        <w:t xml:space="preserve">UI001–UI004</w:t>
      </w:r>
    </w:p>
    <w:p>
      <w:pPr>
        <w:pStyle w:val="Compact"/>
        <w:numPr>
          <w:ilvl w:val="0"/>
          <w:numId w:val="1001"/>
        </w:numPr>
      </w:pPr>
      <w:r>
        <w:t xml:space="preserve">FB001–FB003</w:t>
      </w:r>
    </w:p>
    <w:p>
      <w:pPr>
        <w:pStyle w:val="Compact"/>
        <w:numPr>
          <w:ilvl w:val="0"/>
          <w:numId w:val="1001"/>
        </w:numPr>
      </w:pPr>
      <w:r>
        <w:t xml:space="preserve">A009–A012</w:t>
      </w:r>
    </w:p>
    <w:p>
      <w:pPr>
        <w:pStyle w:val="Compact"/>
        <w:numPr>
          <w:ilvl w:val="0"/>
          <w:numId w:val="1001"/>
        </w:numPr>
      </w:pPr>
      <w:r>
        <w:t xml:space="preserve">AUTH001–AUTH004</w:t>
      </w:r>
    </w:p>
    <w:p>
      <w:pPr>
        <w:pStyle w:val="Compact"/>
        <w:numPr>
          <w:ilvl w:val="0"/>
          <w:numId w:val="1001"/>
        </w:numPr>
      </w:pPr>
      <w:r>
        <w:t xml:space="preserve">CUSTOMER001–CUSTOMER008</w:t>
      </w:r>
    </w:p>
    <w:p>
      <w:pPr>
        <w:pStyle w:val="FirstParagraph"/>
      </w:pPr>
      <w:r>
        <w:t xml:space="preserve">No deberá iniciarse la implementación si alguna dependencia crítica no está aprobada.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implementación deberá:</w:t>
      </w:r>
    </w:p>
    <w:p>
      <w:pPr>
        <w:pStyle w:val="Compact"/>
        <w:numPr>
          <w:ilvl w:val="0"/>
          <w:numId w:val="1002"/>
        </w:numPr>
      </w:pPr>
      <w:r>
        <w:t xml:space="preserve">Respetar Clean Architecture.</w:t>
      </w:r>
    </w:p>
    <w:p>
      <w:pPr>
        <w:pStyle w:val="Compact"/>
        <w:numPr>
          <w:ilvl w:val="0"/>
          <w:numId w:val="1002"/>
        </w:numPr>
      </w:pPr>
      <w:r>
        <w:t xml:space="preserve">Mantener separación de responsabilidades.</w:t>
      </w:r>
    </w:p>
    <w:p>
      <w:pPr>
        <w:pStyle w:val="Compact"/>
        <w:numPr>
          <w:ilvl w:val="0"/>
          <w:numId w:val="1002"/>
        </w:numPr>
      </w:pPr>
      <w:r>
        <w:t xml:space="preserve">Integrarse con el Design System.</w:t>
      </w:r>
    </w:p>
    <w:p>
      <w:pPr>
        <w:pStyle w:val="Compact"/>
        <w:numPr>
          <w:ilvl w:val="0"/>
          <w:numId w:val="1002"/>
        </w:numPr>
      </w:pPr>
      <w:r>
        <w:t xml:space="preserve">Utilizar exclusivamente los contratos definidos.</w:t>
      </w:r>
    </w:p>
    <w:p>
      <w:pPr>
        <w:pStyle w:val="Compact"/>
        <w:numPr>
          <w:ilvl w:val="0"/>
          <w:numId w:val="1002"/>
        </w:numPr>
      </w:pPr>
      <w:r>
        <w:t xml:space="preserve">Mantener compatibilidad con la arquitectura de eventos.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del-módulo"/>
    <w:p>
      <w:pPr>
        <w:pStyle w:val="Heading1"/>
      </w:pPr>
      <w:r>
        <w:t xml:space="preserve">Estructura del Módulo</w:t>
      </w:r>
    </w:p>
    <w:p>
      <w:pPr>
        <w:pStyle w:val="FirstParagraph"/>
      </w:pPr>
      <w:r>
        <w:rPr>
          <w:rStyle w:val="VerbatimChar"/>
        </w:rPr>
        <w:t xml:space="preserve">text id="appointments-module-structure" packages/ └── appointments/     ├── domain/     │   ├── entities/     │   ├── value-objects/     │   ├── repositories/     │   ├── events/     │   └── services/     │     ├── application/     │   ├── dto/     │   ├── mappers/     │   ├── validators/     │   ├── state-machine/     │   └── use-cases/     │     ├── infrastructure/     │   ├── firestore/     │   ├── repositories/     │   ├── adapters/     │   └── converters/     │     ├── presentation/     │   ├── pages/     │   ├── workspace/     │   ├── calendar/     │   ├── components/     │   ├── hooks/     │   └── forms/     │     ├── tests/     └── index.ts</w:t>
      </w:r>
    </w:p>
    <w:p>
      <w:r>
        <w:pict>
          <v:rect style="width:0;height:1.5pt" o:hralign="center" o:hrstd="t" o:hr="t"/>
        </w:pict>
      </w:r>
    </w:p>
    <w:bookmarkEnd w:id="25"/>
    <w:bookmarkStart w:id="33" w:name="fases-de-implementación"/>
    <w:p>
      <w:pPr>
        <w:pStyle w:val="Heading1"/>
      </w:pPr>
      <w:r>
        <w:t xml:space="preserve">Fases de Implementación</w:t>
      </w:r>
    </w:p>
    <w:bookmarkStart w:id="26" w:name="fase-1-dominio"/>
    <w:p>
      <w:pPr>
        <w:pStyle w:val="Heading2"/>
      </w:pPr>
      <w:r>
        <w:t xml:space="preserve">Fase 1 — Dominio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3"/>
        </w:numPr>
      </w:pPr>
      <w:r>
        <w:t xml:space="preserve">Appointment.</w:t>
      </w:r>
    </w:p>
    <w:p>
      <w:pPr>
        <w:pStyle w:val="Compact"/>
        <w:numPr>
          <w:ilvl w:val="0"/>
          <w:numId w:val="1003"/>
        </w:numPr>
      </w:pPr>
      <w:r>
        <w:t xml:space="preserve">Value Objects.</w:t>
      </w:r>
    </w:p>
    <w:p>
      <w:pPr>
        <w:pStyle w:val="Compact"/>
        <w:numPr>
          <w:ilvl w:val="0"/>
          <w:numId w:val="1003"/>
        </w:numPr>
      </w:pPr>
      <w:r>
        <w:t xml:space="preserve">Eventos.</w:t>
      </w:r>
    </w:p>
    <w:p>
      <w:pPr>
        <w:pStyle w:val="Compact"/>
        <w:numPr>
          <w:ilvl w:val="0"/>
          <w:numId w:val="1003"/>
        </w:numPr>
      </w:pPr>
      <w:r>
        <w:t xml:space="preserve">Interfaces de repositorio.</w:t>
      </w:r>
    </w:p>
    <w:p>
      <w:pPr>
        <w:pStyle w:val="FirstParagraph"/>
      </w:pPr>
      <w:r>
        <w:t xml:space="preserve">No depender de React ni Firebase.</w:t>
      </w:r>
    </w:p>
    <w:p>
      <w:r>
        <w:pict>
          <v:rect style="width:0;height:1.5pt" o:hralign="center" o:hrstd="t" o:hr="t"/>
        </w:pict>
      </w:r>
    </w:p>
    <w:bookmarkEnd w:id="26"/>
    <w:bookmarkStart w:id="27" w:name="fase-2-aplicación"/>
    <w:p>
      <w:pPr>
        <w:pStyle w:val="Heading2"/>
      </w:pPr>
      <w:r>
        <w:t xml:space="preserve">Fase 2 — Aplicación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4"/>
        </w:numPr>
      </w:pPr>
      <w:r>
        <w:t xml:space="preserve">DTOs.</w:t>
      </w:r>
    </w:p>
    <w:p>
      <w:pPr>
        <w:pStyle w:val="Compact"/>
        <w:numPr>
          <w:ilvl w:val="0"/>
          <w:numId w:val="1004"/>
        </w:numPr>
      </w:pPr>
      <w:r>
        <w:t xml:space="preserve">Validadores.</w:t>
      </w:r>
    </w:p>
    <w:p>
      <w:pPr>
        <w:pStyle w:val="Compact"/>
        <w:numPr>
          <w:ilvl w:val="0"/>
          <w:numId w:val="1004"/>
        </w:numPr>
      </w:pPr>
      <w:r>
        <w:t xml:space="preserve">Casos de uso.</w:t>
      </w:r>
    </w:p>
    <w:p>
      <w:pPr>
        <w:pStyle w:val="Compact"/>
        <w:numPr>
          <w:ilvl w:val="0"/>
          <w:numId w:val="1004"/>
        </w:numPr>
      </w:pPr>
      <w:r>
        <w:t xml:space="preserve">Máquina de estados.</w:t>
      </w:r>
    </w:p>
    <w:p>
      <w:pPr>
        <w:pStyle w:val="Compact"/>
        <w:numPr>
          <w:ilvl w:val="0"/>
          <w:numId w:val="1004"/>
        </w:numPr>
      </w:pPr>
      <w:r>
        <w:t xml:space="preserve">Servicios de aplicación.</w:t>
      </w:r>
    </w:p>
    <w:p>
      <w:r>
        <w:pict>
          <v:rect style="width:0;height:1.5pt" o:hralign="center" o:hrstd="t" o:hr="t"/>
        </w:pict>
      </w:r>
    </w:p>
    <w:bookmarkEnd w:id="27"/>
    <w:bookmarkStart w:id="28" w:name="fase-3-infraestructura"/>
    <w:p>
      <w:pPr>
        <w:pStyle w:val="Heading2"/>
      </w:pPr>
      <w:r>
        <w:t xml:space="preserve">Fase 3 — Infraestructura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5"/>
        </w:numPr>
      </w:pPr>
      <w:r>
        <w:t xml:space="preserve">Repositorios Firestore.</w:t>
      </w:r>
    </w:p>
    <w:p>
      <w:pPr>
        <w:pStyle w:val="Compact"/>
        <w:numPr>
          <w:ilvl w:val="0"/>
          <w:numId w:val="1005"/>
        </w:numPr>
      </w:pPr>
      <w:r>
        <w:t xml:space="preserve">Conversores.</w:t>
      </w:r>
    </w:p>
    <w:p>
      <w:pPr>
        <w:pStyle w:val="Compact"/>
        <w:numPr>
          <w:ilvl w:val="0"/>
          <w:numId w:val="1005"/>
        </w:numPr>
      </w:pPr>
      <w:r>
        <w:t xml:space="preserve">Adaptadores.</w:t>
      </w:r>
    </w:p>
    <w:p>
      <w:pPr>
        <w:pStyle w:val="Compact"/>
        <w:numPr>
          <w:ilvl w:val="0"/>
          <w:numId w:val="1005"/>
        </w:numPr>
      </w:pPr>
      <w:r>
        <w:t xml:space="preserve">Integración con</w:t>
      </w:r>
      <w:r>
        <w:t xml:space="preserve"> </w:t>
      </w:r>
      <w:r>
        <w:rPr>
          <w:rStyle w:val="VerbatimChar"/>
        </w:rPr>
        <w:t xml:space="preserve">packages/firebase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fase-4-backend"/>
    <w:p>
      <w:pPr>
        <w:pStyle w:val="Heading2"/>
      </w:pPr>
      <w:r>
        <w:t xml:space="preserve">Fase 4 — Backend</w:t>
      </w:r>
    </w:p>
    <w:p>
      <w:pPr>
        <w:pStyle w:val="FirstParagraph"/>
      </w:pPr>
      <w:r>
        <w:t xml:space="preserve">Implementar Cloud Functions:</w:t>
      </w:r>
    </w:p>
    <w:p>
      <w:pPr>
        <w:pStyle w:val="Compact"/>
        <w:numPr>
          <w:ilvl w:val="0"/>
          <w:numId w:val="1006"/>
        </w:numPr>
      </w:pPr>
      <w:r>
        <w:t xml:space="preserve">createAppointment</w:t>
      </w:r>
    </w:p>
    <w:p>
      <w:pPr>
        <w:pStyle w:val="Compact"/>
        <w:numPr>
          <w:ilvl w:val="0"/>
          <w:numId w:val="1006"/>
        </w:numPr>
      </w:pPr>
      <w:r>
        <w:t xml:space="preserve">confirmAppointment</w:t>
      </w:r>
    </w:p>
    <w:p>
      <w:pPr>
        <w:pStyle w:val="Compact"/>
        <w:numPr>
          <w:ilvl w:val="0"/>
          <w:numId w:val="1006"/>
        </w:numPr>
      </w:pPr>
      <w:r>
        <w:t xml:space="preserve">rescheduleAppointment</w:t>
      </w:r>
    </w:p>
    <w:p>
      <w:pPr>
        <w:pStyle w:val="Compact"/>
        <w:numPr>
          <w:ilvl w:val="0"/>
          <w:numId w:val="1006"/>
        </w:numPr>
      </w:pPr>
      <w:r>
        <w:t xml:space="preserve">cancelAppointment</w:t>
      </w:r>
    </w:p>
    <w:p>
      <w:pPr>
        <w:pStyle w:val="Compact"/>
        <w:numPr>
          <w:ilvl w:val="0"/>
          <w:numId w:val="1006"/>
        </w:numPr>
      </w:pPr>
      <w:r>
        <w:t xml:space="preserve">checkInAppointment</w:t>
      </w:r>
    </w:p>
    <w:p>
      <w:pPr>
        <w:pStyle w:val="Compact"/>
        <w:numPr>
          <w:ilvl w:val="0"/>
          <w:numId w:val="1006"/>
        </w:numPr>
      </w:pPr>
      <w:r>
        <w:t xml:space="preserve">startAppointment</w:t>
      </w:r>
    </w:p>
    <w:p>
      <w:pPr>
        <w:pStyle w:val="Compact"/>
        <w:numPr>
          <w:ilvl w:val="0"/>
          <w:numId w:val="1006"/>
        </w:numPr>
      </w:pPr>
      <w:r>
        <w:t xml:space="preserve">completeAppointment</w:t>
      </w:r>
    </w:p>
    <w:p>
      <w:pPr>
        <w:pStyle w:val="Compact"/>
        <w:numPr>
          <w:ilvl w:val="0"/>
          <w:numId w:val="1006"/>
        </w:numPr>
      </w:pPr>
      <w:r>
        <w:t xml:space="preserve">markNoShow</w:t>
      </w:r>
    </w:p>
    <w:p>
      <w:pPr>
        <w:pStyle w:val="Compact"/>
        <w:numPr>
          <w:ilvl w:val="0"/>
          <w:numId w:val="1006"/>
        </w:numPr>
      </w:pPr>
      <w:r>
        <w:t xml:space="preserve">calculateAvailability</w:t>
      </w:r>
    </w:p>
    <w:p>
      <w:r>
        <w:pict>
          <v:rect style="width:0;height:1.5pt" o:hralign="center" o:hrstd="t" o:hr="t"/>
        </w:pict>
      </w:r>
    </w:p>
    <w:bookmarkEnd w:id="29"/>
    <w:bookmarkStart w:id="30" w:name="fase-5-frontend"/>
    <w:p>
      <w:pPr>
        <w:pStyle w:val="Heading2"/>
      </w:pPr>
      <w:r>
        <w:t xml:space="preserve">Fase 5 — Frontend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7"/>
        </w:numPr>
      </w:pPr>
      <w:r>
        <w:t xml:space="preserve">AppointmentWorkspace</w:t>
      </w:r>
    </w:p>
    <w:p>
      <w:pPr>
        <w:pStyle w:val="Compact"/>
        <w:numPr>
          <w:ilvl w:val="0"/>
          <w:numId w:val="1007"/>
        </w:numPr>
      </w:pPr>
      <w:r>
        <w:t xml:space="preserve">AppointmentCalendar</w:t>
      </w:r>
    </w:p>
    <w:p>
      <w:pPr>
        <w:pStyle w:val="Compact"/>
        <w:numPr>
          <w:ilvl w:val="0"/>
          <w:numId w:val="1007"/>
        </w:numPr>
      </w:pPr>
      <w:r>
        <w:t xml:space="preserve">AppointmentTimeline</w:t>
      </w:r>
    </w:p>
    <w:p>
      <w:pPr>
        <w:pStyle w:val="Compact"/>
        <w:numPr>
          <w:ilvl w:val="0"/>
          <w:numId w:val="1007"/>
        </w:numPr>
      </w:pPr>
      <w:r>
        <w:t xml:space="preserve">AppointmentCard</w:t>
      </w:r>
    </w:p>
    <w:p>
      <w:pPr>
        <w:pStyle w:val="Compact"/>
        <w:numPr>
          <w:ilvl w:val="0"/>
          <w:numId w:val="1007"/>
        </w:numPr>
      </w:pPr>
      <w:r>
        <w:t xml:space="preserve">AppointmentDetailPanel</w:t>
      </w:r>
    </w:p>
    <w:p>
      <w:pPr>
        <w:pStyle w:val="Compact"/>
        <w:numPr>
          <w:ilvl w:val="0"/>
          <w:numId w:val="1007"/>
        </w:numPr>
      </w:pPr>
      <w:r>
        <w:t xml:space="preserve">AppointmentFilters</w:t>
      </w:r>
    </w:p>
    <w:p>
      <w:pPr>
        <w:pStyle w:val="Compact"/>
        <w:numPr>
          <w:ilvl w:val="0"/>
          <w:numId w:val="1007"/>
        </w:numPr>
      </w:pPr>
      <w:r>
        <w:t xml:space="preserve">AppointmentToolbar</w:t>
      </w:r>
    </w:p>
    <w:p>
      <w:pPr>
        <w:pStyle w:val="Compact"/>
        <w:numPr>
          <w:ilvl w:val="0"/>
          <w:numId w:val="1007"/>
        </w:numPr>
      </w:pPr>
      <w:r>
        <w:t xml:space="preserve">Formularios de creación y edición</w:t>
      </w:r>
    </w:p>
    <w:p>
      <w:pPr>
        <w:pStyle w:val="FirstParagraph"/>
      </w:pPr>
      <w:r>
        <w:t xml:space="preserve">Todos los componentes deberán consumir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fase-6-integración"/>
    <w:p>
      <w:pPr>
        <w:pStyle w:val="Heading2"/>
      </w:pPr>
      <w:r>
        <w:t xml:space="preserve">Fase 6 — Integración</w:t>
      </w:r>
    </w:p>
    <w:p>
      <w:pPr>
        <w:pStyle w:val="FirstParagraph"/>
      </w:pPr>
      <w:r>
        <w:t xml:space="preserve">Validar la interacción con:</w:t>
      </w:r>
    </w:p>
    <w:p>
      <w:pPr>
        <w:pStyle w:val="Compact"/>
        <w:numPr>
          <w:ilvl w:val="0"/>
          <w:numId w:val="1008"/>
        </w:numPr>
      </w:pPr>
      <w:r>
        <w:t xml:space="preserve">Customers.</w:t>
      </w:r>
    </w:p>
    <w:p>
      <w:pPr>
        <w:pStyle w:val="Compact"/>
        <w:numPr>
          <w:ilvl w:val="0"/>
          <w:numId w:val="1008"/>
        </w:numPr>
      </w:pPr>
      <w:r>
        <w:t xml:space="preserve">Specialists.</w:t>
      </w:r>
    </w:p>
    <w:p>
      <w:pPr>
        <w:pStyle w:val="Compact"/>
        <w:numPr>
          <w:ilvl w:val="0"/>
          <w:numId w:val="1008"/>
        </w:numPr>
      </w:pPr>
      <w:r>
        <w:t xml:space="preserve">Treatments.</w:t>
      </w:r>
    </w:p>
    <w:p>
      <w:pPr>
        <w:pStyle w:val="Compact"/>
        <w:numPr>
          <w:ilvl w:val="0"/>
          <w:numId w:val="1008"/>
        </w:numPr>
      </w:pPr>
      <w:r>
        <w:t xml:space="preserve">Notifications.</w:t>
      </w:r>
    </w:p>
    <w:p>
      <w:pPr>
        <w:pStyle w:val="Compact"/>
        <w:numPr>
          <w:ilvl w:val="0"/>
          <w:numId w:val="1008"/>
        </w:numPr>
      </w:pPr>
      <w:r>
        <w:t xml:space="preserve">Analytics.</w:t>
      </w:r>
    </w:p>
    <w:p>
      <w:pPr>
        <w:pStyle w:val="FirstParagraph"/>
      </w:pPr>
      <w:r>
        <w:t xml:space="preserve">Las dependencias deberán mantenerse desacopladas mediante eventos o contratos.</w:t>
      </w:r>
    </w:p>
    <w:p>
      <w:r>
        <w:pict>
          <v:rect style="width:0;height:1.5pt" o:hralign="center" o:hrstd="t" o:hr="t"/>
        </w:pict>
      </w:r>
    </w:p>
    <w:bookmarkEnd w:id="31"/>
    <w:bookmarkStart w:id="32" w:name="fase-7-pruebas"/>
    <w:p>
      <w:pPr>
        <w:pStyle w:val="Heading2"/>
      </w:pPr>
      <w:r>
        <w:t xml:space="preserve">Fase 7 — Pruebas</w:t>
      </w:r>
    </w:p>
    <w:p>
      <w:pPr>
        <w:pStyle w:val="FirstParagraph"/>
      </w:pPr>
      <w:r>
        <w:t xml:space="preserve">Ejecutar:</w:t>
      </w:r>
    </w:p>
    <w:p>
      <w:pPr>
        <w:pStyle w:val="Compact"/>
        <w:numPr>
          <w:ilvl w:val="0"/>
          <w:numId w:val="1009"/>
        </w:numPr>
      </w:pPr>
      <w:r>
        <w:t xml:space="preserve">Unitarias.</w:t>
      </w:r>
    </w:p>
    <w:p>
      <w:pPr>
        <w:pStyle w:val="Compact"/>
        <w:numPr>
          <w:ilvl w:val="0"/>
          <w:numId w:val="1009"/>
        </w:numPr>
      </w:pPr>
      <w:r>
        <w:t xml:space="preserve">Integración.</w:t>
      </w:r>
    </w:p>
    <w:p>
      <w:pPr>
        <w:pStyle w:val="Compact"/>
        <w:numPr>
          <w:ilvl w:val="0"/>
          <w:numId w:val="1009"/>
        </w:numPr>
      </w:pPr>
      <w:r>
        <w:t xml:space="preserve">End-to-End.</w:t>
      </w:r>
    </w:p>
    <w:p>
      <w:pPr>
        <w:pStyle w:val="Compact"/>
        <w:numPr>
          <w:ilvl w:val="0"/>
          <w:numId w:val="1009"/>
        </w:numPr>
      </w:pPr>
      <w:r>
        <w:t xml:space="preserve">Seguridad.</w:t>
      </w:r>
    </w:p>
    <w:p>
      <w:pPr>
        <w:pStyle w:val="Compact"/>
        <w:numPr>
          <w:ilvl w:val="0"/>
          <w:numId w:val="1009"/>
        </w:numPr>
      </w:pPr>
      <w:r>
        <w:t xml:space="preserve">Concurrencia.</w:t>
      </w:r>
    </w:p>
    <w:p>
      <w:pPr>
        <w:pStyle w:val="Compact"/>
        <w:numPr>
          <w:ilvl w:val="0"/>
          <w:numId w:val="1009"/>
        </w:numPr>
      </w:pPr>
      <w:r>
        <w:t xml:space="preserve">Rendimiento.</w:t>
      </w:r>
    </w:p>
    <w:p>
      <w:pPr>
        <w:pStyle w:val="FirstParagraph"/>
      </w:pPr>
      <w:r>
        <w:t xml:space="preserve">Las pruebas deberán ejecutarse sobre Firebase Emulator Suite cuando corresponda.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finition-of-ready-dor"/>
    <w:p>
      <w:pPr>
        <w:pStyle w:val="Heading1"/>
      </w:pPr>
      <w:r>
        <w:t xml:space="preserve">Definition of Ready (DoR)</w:t>
      </w:r>
    </w:p>
    <w:p>
      <w:pPr>
        <w:pStyle w:val="FirstParagraph"/>
      </w:pPr>
      <w:r>
        <w:t xml:space="preserve">Una tarea podrá comenzar únicamente cuando:</w:t>
      </w:r>
    </w:p>
    <w:p>
      <w:pPr>
        <w:pStyle w:val="Compact"/>
        <w:numPr>
          <w:ilvl w:val="0"/>
          <w:numId w:val="1010"/>
        </w:numPr>
      </w:pPr>
      <w:r>
        <w:t xml:space="preserve">La documentación esté aprobada.</w:t>
      </w:r>
    </w:p>
    <w:p>
      <w:pPr>
        <w:pStyle w:val="Compact"/>
        <w:numPr>
          <w:ilvl w:val="0"/>
          <w:numId w:val="1010"/>
        </w:numPr>
      </w:pPr>
      <w:r>
        <w:t xml:space="preserve">Las dependencias estén disponibles.</w:t>
      </w:r>
    </w:p>
    <w:p>
      <w:pPr>
        <w:pStyle w:val="Compact"/>
        <w:numPr>
          <w:ilvl w:val="0"/>
          <w:numId w:val="1010"/>
        </w:numPr>
      </w:pPr>
      <w:r>
        <w:t xml:space="preserve">Existan criterios de aceptación.</w:t>
      </w:r>
    </w:p>
    <w:p>
      <w:pPr>
        <w:pStyle w:val="Compact"/>
        <w:numPr>
          <w:ilvl w:val="0"/>
          <w:numId w:val="1010"/>
        </w:numPr>
      </w:pPr>
      <w:r>
        <w:t xml:space="preserve">Los contratos estén definidos.</w:t>
      </w:r>
    </w:p>
    <w:p>
      <w:pPr>
        <w:pStyle w:val="Compact"/>
        <w:numPr>
          <w:ilvl w:val="0"/>
          <w:numId w:val="1010"/>
        </w:numPr>
      </w:pPr>
      <w:r>
        <w:t xml:space="preserve">Los riesgos conocidos estén documentados.</w:t>
      </w:r>
    </w:p>
    <w:p>
      <w:r>
        <w:pict>
          <v:rect style="width:0;height:1.5pt" o:hralign="center" o:hrstd="t" o:hr="t"/>
        </w:pict>
      </w:r>
    </w:p>
    <w:bookmarkEnd w:id="34"/>
    <w:bookmarkStart w:id="35" w:name="definition-of-done-dod"/>
    <w:p>
      <w:pPr>
        <w:pStyle w:val="Heading1"/>
      </w:pPr>
      <w:r>
        <w:t xml:space="preserve">Definition of Done (DoD)</w:t>
      </w:r>
    </w:p>
    <w:p>
      <w:pPr>
        <w:pStyle w:val="FirstParagraph"/>
      </w:pPr>
      <w:r>
        <w:t xml:space="preserve">Una tarea se considerará finalizada cuando:</w:t>
      </w:r>
    </w:p>
    <w:p>
      <w:pPr>
        <w:pStyle w:val="Compact"/>
        <w:numPr>
          <w:ilvl w:val="0"/>
          <w:numId w:val="1011"/>
        </w:numPr>
      </w:pPr>
      <w:r>
        <w:t xml:space="preserve">El código compile sin errores.</w:t>
      </w:r>
    </w:p>
    <w:p>
      <w:pPr>
        <w:pStyle w:val="Compact"/>
        <w:numPr>
          <w:ilvl w:val="0"/>
          <w:numId w:val="1011"/>
        </w:numPr>
      </w:pPr>
      <w:r>
        <w:t xml:space="preserve">Las pruebas sean satisfactorias.</w:t>
      </w:r>
    </w:p>
    <w:p>
      <w:pPr>
        <w:pStyle w:val="Compact"/>
        <w:numPr>
          <w:ilvl w:val="0"/>
          <w:numId w:val="1011"/>
        </w:numPr>
      </w:pPr>
      <w:r>
        <w:t xml:space="preserve">Se cumpla la cobertura mínima acordada.</w:t>
      </w:r>
    </w:p>
    <w:p>
      <w:pPr>
        <w:pStyle w:val="Compact"/>
        <w:numPr>
          <w:ilvl w:val="0"/>
          <w:numId w:val="1011"/>
        </w:numPr>
      </w:pPr>
      <w:r>
        <w:t xml:space="preserve">No existan errores críticos.</w:t>
      </w:r>
    </w:p>
    <w:p>
      <w:pPr>
        <w:pStyle w:val="Compact"/>
        <w:numPr>
          <w:ilvl w:val="0"/>
          <w:numId w:val="1011"/>
        </w:numPr>
      </w:pPr>
      <w:r>
        <w:t xml:space="preserve">La documentación esté actualizada.</w:t>
      </w:r>
    </w:p>
    <w:p>
      <w:pPr>
        <w:pStyle w:val="Compact"/>
        <w:numPr>
          <w:ilvl w:val="0"/>
          <w:numId w:val="1011"/>
        </w:numPr>
      </w:pPr>
      <w:r>
        <w:t xml:space="preserve">La revisión arquitectónica sea aprobada.</w:t>
      </w:r>
    </w:p>
    <w:p>
      <w:r>
        <w:pict>
          <v:rect style="width:0;height:1.5pt" o:hralign="center" o:hrstd="t" o:hr="t"/>
        </w:pict>
      </w:r>
    </w:p>
    <w:bookmarkEnd w:id="35"/>
    <w:bookmarkStart w:id="36" w:name="checklist-de-revisión-arquitectónica"/>
    <w:p>
      <w:pPr>
        <w:pStyle w:val="Heading1"/>
      </w:pPr>
      <w:r>
        <w:t xml:space="preserve">Checklist de Revisión Arquitectónica</w:t>
      </w:r>
    </w:p>
    <w:p>
      <w:pPr>
        <w:pStyle w:val="FirstParagraph"/>
      </w:pPr>
      <w:r>
        <w:t xml:space="preserve">Antes de aprobar el código se verificará:</w:t>
      </w:r>
    </w:p>
    <w:p>
      <w:pPr>
        <w:pStyle w:val="Compact"/>
        <w:numPr>
          <w:ilvl w:val="0"/>
          <w:numId w:val="1012"/>
        </w:numPr>
      </w:pPr>
      <w:r>
        <w:t xml:space="preserve">Cumplimiento de Clean Architecture.</w:t>
      </w:r>
    </w:p>
    <w:p>
      <w:pPr>
        <w:pStyle w:val="Compact"/>
        <w:numPr>
          <w:ilvl w:val="0"/>
          <w:numId w:val="1012"/>
        </w:numPr>
      </w:pPr>
      <w:r>
        <w:t xml:space="preserve">Aplicación de SOLID.</w:t>
      </w:r>
    </w:p>
    <w:p>
      <w:pPr>
        <w:pStyle w:val="Compact"/>
        <w:numPr>
          <w:ilvl w:val="0"/>
          <w:numId w:val="1012"/>
        </w:numPr>
      </w:pPr>
      <w:r>
        <w:t xml:space="preserve">Ausencia de dependencias circulares.</w:t>
      </w:r>
    </w:p>
    <w:p>
      <w:pPr>
        <w:pStyle w:val="Compact"/>
        <w:numPr>
          <w:ilvl w:val="0"/>
          <w:numId w:val="1012"/>
        </w:numPr>
      </w:pPr>
      <w:r>
        <w:t xml:space="preserve">Correcto uso de repositorios.</w:t>
      </w:r>
    </w:p>
    <w:p>
      <w:pPr>
        <w:pStyle w:val="Compact"/>
        <w:numPr>
          <w:ilvl w:val="0"/>
          <w:numId w:val="1012"/>
        </w:numPr>
      </w:pPr>
      <w:r>
        <w:t xml:space="preserve">Integración con Event Driven Architecture.</w:t>
      </w:r>
    </w:p>
    <w:p>
      <w:pPr>
        <w:pStyle w:val="Compact"/>
        <w:numPr>
          <w:ilvl w:val="0"/>
          <w:numId w:val="1012"/>
        </w:numPr>
      </w:pPr>
      <w:r>
        <w:t xml:space="preserve">Uso del Result Pattern.</w:t>
      </w:r>
    </w:p>
    <w:p>
      <w:pPr>
        <w:pStyle w:val="Compact"/>
        <w:numPr>
          <w:ilvl w:val="0"/>
          <w:numId w:val="1012"/>
        </w:numPr>
      </w:pPr>
      <w:r>
        <w:t xml:space="preserve">Integración con Logging y Observabilidad.</w:t>
      </w:r>
    </w:p>
    <w:p>
      <w:r>
        <w:pict>
          <v:rect style="width:0;height:1.5pt" o:hralign="center" o:hrstd="t" o:hr="t"/>
        </w:pict>
      </w:r>
    </w:p>
    <w:bookmarkEnd w:id="36"/>
    <w:bookmarkStart w:id="37" w:name="checklist-de-revisión-de-código"/>
    <w:p>
      <w:pPr>
        <w:pStyle w:val="Heading1"/>
      </w:pPr>
      <w:r>
        <w:t xml:space="preserve">Checklist de Revisión de Código</w:t>
      </w:r>
    </w:p>
    <w:p>
      <w:pPr>
        <w:pStyle w:val="FirstParagraph"/>
      </w:pPr>
      <w:r>
        <w:t xml:space="preserve">Se comprobará:</w:t>
      </w:r>
    </w:p>
    <w:p>
      <w:pPr>
        <w:pStyle w:val="Compact"/>
        <w:numPr>
          <w:ilvl w:val="0"/>
          <w:numId w:val="1013"/>
        </w:numPr>
      </w:pPr>
      <w:r>
        <w:t xml:space="preserve">Legibilidad.</w:t>
      </w:r>
    </w:p>
    <w:p>
      <w:pPr>
        <w:pStyle w:val="Compact"/>
        <w:numPr>
          <w:ilvl w:val="0"/>
          <w:numId w:val="1013"/>
        </w:numPr>
      </w:pPr>
      <w:r>
        <w:t xml:space="preserve">Tipado estricto.</w:t>
      </w:r>
    </w:p>
    <w:p>
      <w:pPr>
        <w:pStyle w:val="Compact"/>
        <w:numPr>
          <w:ilvl w:val="0"/>
          <w:numId w:val="1013"/>
        </w:numPr>
      </w:pPr>
      <w:r>
        <w:t xml:space="preserve">Nombres consistentes.</w:t>
      </w:r>
    </w:p>
    <w:p>
      <w:pPr>
        <w:pStyle w:val="Compact"/>
        <w:numPr>
          <w:ilvl w:val="0"/>
          <w:numId w:val="1013"/>
        </w:numPr>
      </w:pPr>
      <w:r>
        <w:t xml:space="preserve">Ausencia de duplicación.</w:t>
      </w:r>
    </w:p>
    <w:p>
      <w:pPr>
        <w:pStyle w:val="Compact"/>
        <w:numPr>
          <w:ilvl w:val="0"/>
          <w:numId w:val="1013"/>
        </w:numPr>
      </w:pPr>
      <w:r>
        <w:t xml:space="preserve">Cobertura de pruebas.</w:t>
      </w:r>
    </w:p>
    <w:p>
      <w:pPr>
        <w:pStyle w:val="Compact"/>
        <w:numPr>
          <w:ilvl w:val="0"/>
          <w:numId w:val="1013"/>
        </w:numPr>
      </w:pPr>
      <w:r>
        <w:t xml:space="preserve">Documentación pública.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-de-rendimiento"/>
    <w:p>
      <w:pPr>
        <w:pStyle w:val="Heading1"/>
      </w:pPr>
      <w:r>
        <w:t xml:space="preserve">Checklist de Rendimiento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4"/>
        </w:numPr>
      </w:pPr>
      <w:r>
        <w:t xml:space="preserve">Consultas optimizadas.</w:t>
      </w:r>
    </w:p>
    <w:p>
      <w:pPr>
        <w:pStyle w:val="Compact"/>
        <w:numPr>
          <w:ilvl w:val="0"/>
          <w:numId w:val="1014"/>
        </w:numPr>
      </w:pPr>
      <w:r>
        <w:t xml:space="preserve">Índices adecuados.</w:t>
      </w:r>
    </w:p>
    <w:p>
      <w:pPr>
        <w:pStyle w:val="Compact"/>
        <w:numPr>
          <w:ilvl w:val="0"/>
          <w:numId w:val="1014"/>
        </w:numPr>
      </w:pPr>
      <w:r>
        <w:t xml:space="preserve">Sin lecturas redundantes.</w:t>
      </w:r>
    </w:p>
    <w:p>
      <w:pPr>
        <w:pStyle w:val="Compact"/>
        <w:numPr>
          <w:ilvl w:val="0"/>
          <w:numId w:val="1014"/>
        </w:numPr>
      </w:pPr>
      <w:r>
        <w:t xml:space="preserve">Renderizados controlados.</w:t>
      </w:r>
    </w:p>
    <w:p>
      <w:pPr>
        <w:pStyle w:val="Compact"/>
        <w:numPr>
          <w:ilvl w:val="0"/>
          <w:numId w:val="1014"/>
        </w:numPr>
      </w:pPr>
      <w:r>
        <w:t xml:space="preserve">Carga progresiva de la agenda.</w:t>
      </w:r>
    </w:p>
    <w:p>
      <w:r>
        <w:pict>
          <v:rect style="width:0;height:1.5pt" o:hralign="center" o:hrstd="t" o:hr="t"/>
        </w:pict>
      </w:r>
    </w:p>
    <w:bookmarkEnd w:id="38"/>
    <w:bookmarkStart w:id="39" w:name="checklist-de-seguridad"/>
    <w:p>
      <w:pPr>
        <w:pStyle w:val="Heading1"/>
      </w:pPr>
      <w:r>
        <w:t xml:space="preserve">Checklist de Seguridad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5"/>
        </w:numPr>
      </w:pPr>
      <w:r>
        <w:t xml:space="preserve">Reglas Firestore.</w:t>
      </w:r>
    </w:p>
    <w:p>
      <w:pPr>
        <w:pStyle w:val="Compact"/>
        <w:numPr>
          <w:ilvl w:val="0"/>
          <w:numId w:val="1015"/>
        </w:numPr>
      </w:pPr>
      <w:r>
        <w:t xml:space="preserve">Validaciones en Cloud Functions.</w:t>
      </w:r>
    </w:p>
    <w:p>
      <w:pPr>
        <w:pStyle w:val="Compact"/>
        <w:numPr>
          <w:ilvl w:val="0"/>
          <w:numId w:val="1015"/>
        </w:numPr>
      </w:pPr>
      <w:r>
        <w:t xml:space="preserve">Permisos.</w:t>
      </w:r>
    </w:p>
    <w:p>
      <w:pPr>
        <w:pStyle w:val="Compact"/>
        <w:numPr>
          <w:ilvl w:val="0"/>
          <w:numId w:val="1015"/>
        </w:numPr>
      </w:pPr>
      <w:r>
        <w:t xml:space="preserve">Multi-Tenant.</w:t>
      </w:r>
    </w:p>
    <w:p>
      <w:pPr>
        <w:pStyle w:val="Compact"/>
        <w:numPr>
          <w:ilvl w:val="0"/>
          <w:numId w:val="1015"/>
        </w:numPr>
      </w:pPr>
      <w:r>
        <w:t xml:space="preserve">Protección de campos sensibles.</w:t>
      </w:r>
    </w:p>
    <w:p>
      <w:r>
        <w:pict>
          <v:rect style="width:0;height:1.5pt" o:hralign="center" o:hrstd="t" o:hr="t"/>
        </w:pict>
      </w:r>
    </w:p>
    <w:bookmarkEnd w:id="39"/>
    <w:bookmarkStart w:id="40" w:name="entregables"/>
    <w:p>
      <w:pPr>
        <w:pStyle w:val="Heading1"/>
      </w:pPr>
      <w:r>
        <w:t xml:space="preserve">Entregables</w:t>
      </w:r>
    </w:p>
    <w:p>
      <w:pPr>
        <w:pStyle w:val="FirstParagraph"/>
      </w:pPr>
      <w:r>
        <w:t xml:space="preserve">Antigravity deberá entregar:</w:t>
      </w:r>
    </w:p>
    <w:p>
      <w:pPr>
        <w:pStyle w:val="Compact"/>
        <w:numPr>
          <w:ilvl w:val="0"/>
          <w:numId w:val="1016"/>
        </w:numPr>
      </w:pPr>
      <w:r>
        <w:t xml:space="preserve">Código fuente.</w:t>
      </w:r>
    </w:p>
    <w:p>
      <w:pPr>
        <w:pStyle w:val="Compact"/>
        <w:numPr>
          <w:ilvl w:val="0"/>
          <w:numId w:val="1016"/>
        </w:numPr>
      </w:pPr>
      <w:r>
        <w:t xml:space="preserve">Pruebas automatizadas.</w:t>
      </w:r>
    </w:p>
    <w:p>
      <w:pPr>
        <w:pStyle w:val="Compact"/>
        <w:numPr>
          <w:ilvl w:val="0"/>
          <w:numId w:val="1016"/>
        </w:numPr>
      </w:pPr>
      <w:r>
        <w:t xml:space="preserve">Informe de cobertura.</w:t>
      </w:r>
    </w:p>
    <w:p>
      <w:pPr>
        <w:pStyle w:val="Compact"/>
        <w:numPr>
          <w:ilvl w:val="0"/>
          <w:numId w:val="1016"/>
        </w:numPr>
      </w:pPr>
      <w:r>
        <w:t xml:space="preserve">Registro de decisiones técnicas.</w:t>
      </w:r>
    </w:p>
    <w:p>
      <w:pPr>
        <w:pStyle w:val="Compact"/>
        <w:numPr>
          <w:ilvl w:val="0"/>
          <w:numId w:val="1016"/>
        </w:numPr>
      </w:pPr>
      <w:r>
        <w:t xml:space="preserve">Evidencias de ejecución de pruebas.</w:t>
      </w:r>
    </w:p>
    <w:p>
      <w:r>
        <w:pict>
          <v:rect style="width:0;height:1.5pt" o:hralign="center" o:hrstd="t" o:hr="t"/>
        </w:pict>
      </w:r>
    </w:p>
    <w:bookmarkEnd w:id="40"/>
    <w:bookmarkStart w:id="41" w:name="criterios-de-aceptación"/>
    <w:p>
      <w:pPr>
        <w:pStyle w:val="Heading1"/>
      </w:pPr>
      <w:r>
        <w:t xml:space="preserve">Criterios de Aceptación</w:t>
      </w:r>
    </w:p>
    <w:p>
      <w:pPr>
        <w:pStyle w:val="FirstParagraph"/>
      </w:pPr>
      <w:r>
        <w:t xml:space="preserve">El dominio será aceptado cuando:</w:t>
      </w:r>
    </w:p>
    <w:p>
      <w:pPr>
        <w:pStyle w:val="Compact"/>
        <w:numPr>
          <w:ilvl w:val="0"/>
          <w:numId w:val="1017"/>
        </w:numPr>
      </w:pPr>
      <w:r>
        <w:t xml:space="preserve">Todos los casos de uso estén implementados.</w:t>
      </w:r>
    </w:p>
    <w:p>
      <w:pPr>
        <w:pStyle w:val="Compact"/>
        <w:numPr>
          <w:ilvl w:val="0"/>
          <w:numId w:val="1017"/>
        </w:numPr>
      </w:pPr>
      <w:r>
        <w:t xml:space="preserve">La máquina de estados funcione correctamente.</w:t>
      </w:r>
    </w:p>
    <w:p>
      <w:pPr>
        <w:pStyle w:val="Compact"/>
        <w:numPr>
          <w:ilvl w:val="0"/>
          <w:numId w:val="1017"/>
        </w:numPr>
      </w:pPr>
      <w:r>
        <w:t xml:space="preserve">Las pruebas de concurrencia sean satisfactorias.</w:t>
      </w:r>
    </w:p>
    <w:p>
      <w:pPr>
        <w:pStyle w:val="Compact"/>
        <w:numPr>
          <w:ilvl w:val="0"/>
          <w:numId w:val="1017"/>
        </w:numPr>
      </w:pPr>
      <w:r>
        <w:t xml:space="preserve">La agenda no permita dobles reservas.</w:t>
      </w:r>
    </w:p>
    <w:p>
      <w:pPr>
        <w:pStyle w:val="Compact"/>
        <w:numPr>
          <w:ilvl w:val="0"/>
          <w:numId w:val="1017"/>
        </w:numPr>
      </w:pPr>
      <w:r>
        <w:t xml:space="preserve">Se respeten los estándares definidos en la arquitectura.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APP001–APP007</w:t>
      </w:r>
    </w:p>
    <w:p>
      <w:pPr>
        <w:pStyle w:val="Compact"/>
        <w:numPr>
          <w:ilvl w:val="0"/>
          <w:numId w:val="1018"/>
        </w:numPr>
      </w:pPr>
      <w:r>
        <w:t xml:space="preserve">A009–A012</w:t>
      </w:r>
    </w:p>
    <w:p>
      <w:pPr>
        <w:pStyle w:val="Compact"/>
        <w:numPr>
          <w:ilvl w:val="0"/>
          <w:numId w:val="1018"/>
        </w:numPr>
      </w:pPr>
      <w:r>
        <w:t xml:space="preserve">FB001–FB003</w:t>
      </w:r>
    </w:p>
    <w:p>
      <w:pPr>
        <w:pStyle w:val="Compact"/>
        <w:numPr>
          <w:ilvl w:val="0"/>
          <w:numId w:val="1018"/>
        </w:numPr>
      </w:pPr>
      <w:r>
        <w:t xml:space="preserve">UI001–UI004</w:t>
      </w:r>
    </w:p>
    <w:p>
      <w:pPr>
        <w:pStyle w:val="Compact"/>
        <w:numPr>
          <w:ilvl w:val="0"/>
          <w:numId w:val="1018"/>
        </w:numPr>
      </w:pPr>
      <w:r>
        <w:t xml:space="preserve">CUSTOMER001–CUSTOMER008</w:t>
      </w:r>
    </w:p>
    <w:p>
      <w:r>
        <w:pict>
          <v:rect style="width:0;height:1.5pt" o:hralign="center" o:hrstd="t" o:hr="t"/>
        </w:pict>
      </w:r>
    </w:p>
    <w:bookmarkEnd w:id="42"/>
    <w:bookmarkStart w:id="43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 por Antigravity.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2026-06-30T17:13:27Z</dcterms:created>
  <dcterms:modified xsi:type="dcterms:W3CDTF">2026-06-30T17:13:27Z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