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AUD002 — AUDIT &amp; COMPLIANCE DATA MODEL</w:t>
      </w:r>
    </w:p>
    <w:p>
      <w:r>
        <w:t>Versión: 1.0</w:t>
        <w:br/>
        <w:t>Estado: Diseño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el modelo oficial de datos del dominio Audit &amp; Compliance.</w:t>
      </w:r>
    </w:p>
    <w:p>
      <w:pPr>
        <w:pStyle w:val="Heading3"/>
      </w:pPr>
      <w:r>
        <w:t>Arquitectura</w:t>
      </w:r>
    </w:p>
    <w:p>
      <w:r>
        <w:t>organizations/{organizationId}/audit/{workspaceId}</w:t>
      </w:r>
    </w:p>
    <w:p>
      <w:pPr>
        <w:pStyle w:val="Heading3"/>
      </w:pPr>
      <w:r>
        <w:t>Aggregate Root</w:t>
      </w:r>
    </w:p>
    <w:p>
      <w:r>
        <w:t>AuditWorkspace identificado por organizationId y workspaceId.</w:t>
      </w:r>
    </w:p>
    <w:p>
      <w:pPr>
        <w:pStyle w:val="Heading3"/>
      </w:pPr>
      <w:r>
        <w:t>Registros</w:t>
      </w:r>
    </w:p>
    <w:p>
      <w:r>
        <w:t>auditId, eventType, entityType, entityId, actorId, timestamp y correlationId.</w:t>
      </w:r>
    </w:p>
    <w:p>
      <w:pPr>
        <w:pStyle w:val="Heading3"/>
      </w:pPr>
      <w:r>
        <w:t>Cumplimiento</w:t>
      </w:r>
    </w:p>
    <w:p>
      <w:r>
        <w:t>policyId, framework, status, evaluatedAt y findings.</w:t>
      </w:r>
    </w:p>
    <w:p>
      <w:pPr>
        <w:pStyle w:val="Heading3"/>
      </w:pPr>
      <w:r>
        <w:t>Evidencias</w:t>
      </w:r>
    </w:p>
    <w:p>
      <w:r>
        <w:t>evidenceId, storageRef, checksum, classification y retentionUntil.</w:t>
      </w:r>
    </w:p>
    <w:p>
      <w:pPr>
        <w:pStyle w:val="Heading3"/>
      </w:pPr>
      <w:r>
        <w:t>Casos</w:t>
      </w:r>
    </w:p>
    <w:p>
      <w:r>
        <w:t>caseId, priority, owner, status y resolutionDate.</w:t>
      </w:r>
    </w:p>
    <w:p>
      <w:pPr>
        <w:pStyle w:val="Heading3"/>
      </w:pPr>
      <w:r>
        <w:t>Auditoría</w:t>
      </w:r>
    </w:p>
    <w:p>
      <w:r>
        <w:t>createdAt, createdBy, updatedAt, updatedBy y version.</w:t>
      </w:r>
    </w:p>
    <w:p>
      <w:pPr>
        <w:pStyle w:val="Heading3"/>
      </w:pPr>
      <w:r>
        <w:t>Subcolecciones</w:t>
      </w:r>
    </w:p>
    <w:p>
      <w:r>
        <w:t>records, evidence, policies, cases y timeline.</w:t>
      </w:r>
    </w:p>
    <w:p>
      <w:pPr>
        <w:pStyle w:val="Heading3"/>
      </w:pPr>
      <w:r>
        <w:t>Índices</w:t>
      </w:r>
    </w:p>
    <w:p>
      <w:r>
        <w:t>eventType+timestamp, actorId, entityId, status y correlationId.</w:t>
      </w:r>
    </w:p>
    <w:p>
      <w:pPr>
        <w:pStyle w:val="Heading3"/>
      </w:pPr>
      <w:r>
        <w:t>Checklist</w:t>
      </w:r>
    </w:p>
    <w:p>
      <w:r>
        <w:t>Modelo definido, relaciones documentadas, auditoría incluida, subcolecciones e índices identificados.</w:t>
      </w:r>
    </w:p>
    <w:p>
      <w:pPr>
        <w:pStyle w:val="Heading3"/>
      </w:pPr>
      <w:r>
        <w:t>Estado</w:t>
      </w:r>
    </w:p>
    <w:p>
      <w:r>
        <w:t>Aprobado como modelo oficial de datos del dominio Audit &amp; Compliance.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