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Audit &amp; Compliance.</w:t>
      </w:r>
    </w:p>
    <w:p>
      <w:pPr>
        <w:pStyle w:val="Heading3"/>
      </w:pPr>
      <w:r>
        <w:t>Dependencias</w:t>
      </w:r>
    </w:p>
    <w:p>
      <w:r>
        <w:t>Core, IAM, Firebase, Observability, Organization, Communication Platform y Storage.</w:t>
      </w:r>
    </w:p>
    <w:p>
      <w:pPr>
        <w:pStyle w:val="Heading3"/>
      </w:pPr>
      <w:r>
        <w:t>Objetivos</w:t>
      </w:r>
    </w:p>
    <w:p>
      <w:r>
        <w:t>Aplicar Clean Architecture, SOLID, DDD, Event Sourcing para auditoría e idempotencia.</w:t>
      </w:r>
    </w:p>
    <w:p>
      <w:pPr>
        <w:pStyle w:val="Heading3"/>
      </w:pPr>
      <w:r>
        <w:t>Estructura del Módulo</w:t>
      </w:r>
    </w:p>
    <w:p>
      <w:r>
        <w:t>packages/audit con capas domain, application, infrastructure, presentation y tests.</w:t>
      </w:r>
    </w:p>
    <w:p>
      <w:pPr>
        <w:pStyle w:val="Heading3"/>
      </w:pPr>
      <w:r>
        <w:t>Entidades</w:t>
      </w:r>
    </w:p>
    <w:p>
      <w:r>
        <w:t>AuditWorkspace, AuditRecord, CompliancePolicy, Evidence, RetentionRule y AuditCase.</w:t>
      </w:r>
    </w:p>
    <w:p>
      <w:pPr>
        <w:pStyle w:val="Heading3"/>
      </w:pPr>
      <w:r>
        <w:t>Value Objects</w:t>
      </w:r>
    </w:p>
    <w:p>
      <w:r>
        <w:t>AuditId, CorrelationId, EvidenceChecksum, PolicyCode, RetentionPeriod y ComplianceStatus.</w:t>
      </w:r>
    </w:p>
    <w:p>
      <w:pPr>
        <w:pStyle w:val="Heading3"/>
      </w:pPr>
      <w:r>
        <w:t>Casos de Uso</w:t>
      </w:r>
    </w:p>
    <w:p>
      <w:r>
        <w:t>RecordAuditEvent, AttachEvidence, EvaluateCompliance, OpenAuditCase, ResolveAuditCase y SearchAuditRecords.</w:t>
      </w:r>
    </w:p>
    <w:p>
      <w:pPr>
        <w:pStyle w:val="Heading3"/>
      </w:pPr>
      <w:r>
        <w:t>Cloud Functions</w:t>
      </w:r>
    </w:p>
    <w:p>
      <w:r>
        <w:t>Implementar las funciones definidas en AUD005 con registros inmutables, auditoría y retención.</w:t>
      </w:r>
    </w:p>
    <w:p>
      <w:pPr>
        <w:pStyle w:val="Heading3"/>
      </w:pPr>
      <w:r>
        <w:t>Frontend</w:t>
      </w:r>
    </w:p>
    <w:p>
      <w:r>
        <w:t>AuditWorkspace, AuditExplorer, EvidenceViewer, ComplianceDashboard y CaseManager.</w:t>
      </w:r>
    </w:p>
    <w:p>
      <w:pPr>
        <w:pStyle w:val="Heading3"/>
      </w:pPr>
      <w:r>
        <w:t>Integraciones</w:t>
      </w:r>
    </w:p>
    <w:p>
      <w:r>
        <w:t>IAM, Observability, Firebase, Organization y Communication Platform.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Integraciones.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 y criterios de aceptación claros.</w:t>
      </w:r>
    </w:p>
    <w:p>
      <w:pPr>
        <w:pStyle w:val="Heading3"/>
      </w:pPr>
      <w:r>
        <w:t>Definition of Done</w:t>
      </w:r>
    </w:p>
    <w:p>
      <w:r>
        <w:t>Cobertura alcanzada, revisión arquitectónica aprobada y documentación actualizada.</w:t>
      </w:r>
    </w:p>
    <w:p>
      <w:pPr>
        <w:pStyle w:val="Heading3"/>
      </w:pPr>
      <w:r>
        <w:t>Checklist</w:t>
      </w:r>
    </w:p>
    <w:p>
      <w:r>
        <w:t>Seguridad, inmutabilidad, retención, cumplimiento y observabilidad verificados.</w:t>
      </w:r>
    </w:p>
    <w:p>
      <w:pPr>
        <w:pStyle w:val="Heading3"/>
      </w:pPr>
      <w:r>
        <w:t>Entregables</w:t>
      </w:r>
    </w:p>
    <w:p>
      <w:r>
        <w:t>Código fuente, pruebas automatizadas, cobertura, evidencias funcionales y ADRs.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