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90a5c866788692d429c7804ee04e06d7148aa24"/>
    <w:p>
      <w:pPr>
        <w:pStyle w:val="Heading1"/>
      </w:pPr>
      <w:r>
        <w:t xml:space="preserve">CUSTOMER008 — ANTIGRAVITY IMPLEMENTATION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especificación técnica de implementación del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BodyText"/>
      </w:pPr>
      <w:r>
        <w:t xml:space="preserve">Este documento establece el alcance, la estructura del código, el orden de desarrollo y los criterios de aceptación que deberá seguir Antigravity para implementar el dominio sin tomar decisiones de arquitectura.</w:t>
      </w:r>
    </w:p>
    <w:p>
      <w:r>
        <w:pict>
          <v:rect style="width:0;height:1.5pt" o:hralign="center" o:hrstd="t" o:hr="t"/>
        </w:pict>
      </w:r>
    </w:p>
    <w:bookmarkEnd w:id="22"/>
    <w:bookmarkStart w:id="23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La implementación depende de la finalización de los siguientes documentos:</w:t>
      </w:r>
    </w:p>
    <w:p>
      <w:pPr>
        <w:pStyle w:val="Compact"/>
        <w:numPr>
          <w:ilvl w:val="0"/>
          <w:numId w:val="1001"/>
        </w:numPr>
      </w:pPr>
      <w:r>
        <w:t xml:space="preserve">CORE001 — Platform Foundation</w:t>
      </w:r>
    </w:p>
    <w:p>
      <w:pPr>
        <w:pStyle w:val="Compact"/>
        <w:numPr>
          <w:ilvl w:val="0"/>
          <w:numId w:val="1001"/>
        </w:numPr>
      </w:pPr>
      <w:r>
        <w:t xml:space="preserve">CORE002 — Error Handling</w:t>
      </w:r>
    </w:p>
    <w:p>
      <w:pPr>
        <w:pStyle w:val="Compact"/>
        <w:numPr>
          <w:ilvl w:val="0"/>
          <w:numId w:val="1001"/>
        </w:numPr>
      </w:pPr>
      <w:r>
        <w:t xml:space="preserve">CORE003 — Logging &amp; Observability</w:t>
      </w:r>
    </w:p>
    <w:p>
      <w:pPr>
        <w:pStyle w:val="Compact"/>
        <w:numPr>
          <w:ilvl w:val="0"/>
          <w:numId w:val="1001"/>
        </w:numPr>
      </w:pPr>
      <w:r>
        <w:t xml:space="preserve">CORE004 — Configuration &amp; Environment</w:t>
      </w:r>
    </w:p>
    <w:p>
      <w:pPr>
        <w:pStyle w:val="Compact"/>
        <w:numPr>
          <w:ilvl w:val="0"/>
          <w:numId w:val="1001"/>
        </w:numPr>
      </w:pPr>
      <w:r>
        <w:t xml:space="preserve">FB001 — Firebase SDK Architecture</w:t>
      </w:r>
    </w:p>
    <w:p>
      <w:pPr>
        <w:pStyle w:val="Compact"/>
        <w:numPr>
          <w:ilvl w:val="0"/>
          <w:numId w:val="1001"/>
        </w:numPr>
      </w:pPr>
      <w:r>
        <w:t xml:space="preserve">FB002 — Firestore Repository Pattern</w:t>
      </w:r>
    </w:p>
    <w:p>
      <w:pPr>
        <w:pStyle w:val="Compact"/>
        <w:numPr>
          <w:ilvl w:val="0"/>
          <w:numId w:val="1001"/>
        </w:numPr>
      </w:pPr>
      <w:r>
        <w:t xml:space="preserve">FB003 — Cloud Functions Architecture</w:t>
      </w:r>
    </w:p>
    <w:p>
      <w:pPr>
        <w:pStyle w:val="Compact"/>
        <w:numPr>
          <w:ilvl w:val="0"/>
          <w:numId w:val="1001"/>
        </w:numPr>
      </w:pPr>
      <w:r>
        <w:t xml:space="preserve">SEC001 — Security Architecture</w:t>
      </w:r>
    </w:p>
    <w:p>
      <w:pPr>
        <w:pStyle w:val="Compact"/>
        <w:numPr>
          <w:ilvl w:val="0"/>
          <w:numId w:val="1001"/>
        </w:numPr>
      </w:pPr>
      <w:r>
        <w:t xml:space="preserve">SEC002 — Authorization Model</w:t>
      </w:r>
    </w:p>
    <w:p>
      <w:pPr>
        <w:pStyle w:val="Compact"/>
        <w:numPr>
          <w:ilvl w:val="0"/>
          <w:numId w:val="1001"/>
        </w:numPr>
      </w:pPr>
      <w:r>
        <w:t xml:space="preserve">AUTH001–AUTH004 — Identity</w:t>
      </w:r>
    </w:p>
    <w:p>
      <w:pPr>
        <w:pStyle w:val="Compact"/>
        <w:numPr>
          <w:ilvl w:val="0"/>
          <w:numId w:val="1001"/>
        </w:numPr>
      </w:pPr>
      <w:r>
        <w:t xml:space="preserve">CUSTOMER001–CUSTOMER007</w:t>
      </w:r>
    </w:p>
    <w:p>
      <w:r>
        <w:pict>
          <v:rect style="width:0;height:1.5pt" o:hralign="center" o:hrstd="t" o:hr="t"/>
        </w:pict>
      </w:r>
    </w:p>
    <w:bookmarkEnd w:id="23"/>
    <w:bookmarkStart w:id="24" w:name="arquitectura-del-módulo"/>
    <w:p>
      <w:pPr>
        <w:pStyle w:val="Heading1"/>
      </w:pPr>
      <w:r>
        <w:t xml:space="preserve">Arquitectura del Módulo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customers/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│   ├── entities/</w:t>
      </w:r>
      <w:r>
        <w:br/>
      </w:r>
      <w:r>
        <w:rPr>
          <w:rStyle w:val="VerbatimChar"/>
        </w:rPr>
        <w:t xml:space="preserve">    │   ├── value-objects/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├── events/</w:t>
      </w:r>
      <w:r>
        <w:br/>
      </w:r>
      <w:r>
        <w:rPr>
          <w:rStyle w:val="VerbatimChar"/>
        </w:rPr>
        <w:t xml:space="preserve">    │   └── services/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application/</w:t>
      </w:r>
      <w:r>
        <w:br/>
      </w:r>
      <w:r>
        <w:rPr>
          <w:rStyle w:val="VerbatimChar"/>
        </w:rPr>
        <w:t xml:space="preserve">    │   ├── dto/</w:t>
      </w:r>
      <w:r>
        <w:br/>
      </w:r>
      <w:r>
        <w:rPr>
          <w:rStyle w:val="VerbatimChar"/>
        </w:rPr>
        <w:t xml:space="preserve">    │   ├── mappers/</w:t>
      </w:r>
      <w:r>
        <w:br/>
      </w:r>
      <w:r>
        <w:rPr>
          <w:rStyle w:val="VerbatimChar"/>
        </w:rPr>
        <w:t xml:space="preserve">    │   ├── validators/</w:t>
      </w:r>
      <w:r>
        <w:br/>
      </w:r>
      <w:r>
        <w:rPr>
          <w:rStyle w:val="VerbatimChar"/>
        </w:rPr>
        <w:t xml:space="preserve">    │   └── use-cases/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infrastructure/</w:t>
      </w:r>
      <w:r>
        <w:br/>
      </w:r>
      <w:r>
        <w:rPr>
          <w:rStyle w:val="VerbatimChar"/>
        </w:rPr>
        <w:t xml:space="preserve">    │   ├── firestore/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├── adapters/</w:t>
      </w:r>
      <w:r>
        <w:br/>
      </w:r>
      <w:r>
        <w:rPr>
          <w:rStyle w:val="VerbatimChar"/>
        </w:rPr>
        <w:t xml:space="preserve">    │   └── converters/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presentation/</w:t>
      </w:r>
      <w:r>
        <w:br/>
      </w:r>
      <w:r>
        <w:rPr>
          <w:rStyle w:val="VerbatimChar"/>
        </w:rPr>
        <w:t xml:space="preserve">    │   ├── hooks/</w:t>
      </w:r>
      <w:r>
        <w:br/>
      </w:r>
      <w:r>
        <w:rPr>
          <w:rStyle w:val="VerbatimChar"/>
        </w:rPr>
        <w:t xml:space="preserve">    │   ├── pages/</w:t>
      </w:r>
      <w:r>
        <w:br/>
      </w:r>
      <w:r>
        <w:rPr>
          <w:rStyle w:val="VerbatimChar"/>
        </w:rPr>
        <w:t xml:space="preserve">    │   ├── components/</w:t>
      </w:r>
      <w:r>
        <w:br/>
      </w:r>
      <w:r>
        <w:rPr>
          <w:rStyle w:val="VerbatimChar"/>
        </w:rPr>
        <w:t xml:space="preserve">    │   ├── forms/</w:t>
      </w:r>
      <w:r>
        <w:br/>
      </w:r>
      <w:r>
        <w:rPr>
          <w:rStyle w:val="VerbatimChar"/>
        </w:rPr>
        <w:t xml:space="preserve">    │   └── tables/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tests/</w:t>
      </w:r>
      <w:r>
        <w:br/>
      </w:r>
      <w:r>
        <w:rPr>
          <w:rStyle w:val="VerbatimChar"/>
        </w:rPr>
        <w:t xml:space="preserve">    └── index.ts</w:t>
      </w:r>
    </w:p>
    <w:p>
      <w:r>
        <w:pict>
          <v:rect style="width:0;height:1.5pt" o:hralign="center" o:hrstd="t" o:hr="t"/>
        </w:pict>
      </w:r>
    </w:p>
    <w:bookmarkEnd w:id="24"/>
    <w:bookmarkStart w:id="25" w:name="entidades"/>
    <w:p>
      <w:pPr>
        <w:pStyle w:val="Heading1"/>
      </w:pPr>
      <w:r>
        <w:t xml:space="preserve">Entidades</w:t>
      </w:r>
    </w:p>
    <w:p>
      <w:pPr>
        <w:pStyle w:val="FirstParagraph"/>
      </w:pPr>
      <w:r>
        <w:t xml:space="preserve">Implementar inicialmente: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</w:p>
    <w:p>
      <w:pPr>
        <w:pStyle w:val="Compact"/>
        <w:numPr>
          <w:ilvl w:val="0"/>
          <w:numId w:val="1002"/>
        </w:numPr>
      </w:pPr>
      <w:r>
        <w:t xml:space="preserve">CustomerProfile</w:t>
      </w:r>
    </w:p>
    <w:p>
      <w:pPr>
        <w:pStyle w:val="Compact"/>
        <w:numPr>
          <w:ilvl w:val="0"/>
          <w:numId w:val="1002"/>
        </w:numPr>
      </w:pPr>
      <w:r>
        <w:t xml:space="preserve">CustomerPreferences</w:t>
      </w:r>
    </w:p>
    <w:p>
      <w:pPr>
        <w:pStyle w:val="Compact"/>
        <w:numPr>
          <w:ilvl w:val="0"/>
          <w:numId w:val="1002"/>
        </w:numPr>
      </w:pPr>
      <w:r>
        <w:t xml:space="preserve">CustomerContact</w:t>
      </w:r>
    </w:p>
    <w:p>
      <w:pPr>
        <w:pStyle w:val="Compact"/>
        <w:numPr>
          <w:ilvl w:val="0"/>
          <w:numId w:val="1002"/>
        </w:numPr>
      </w:pPr>
      <w:r>
        <w:t xml:space="preserve">CustomerTag</w:t>
      </w:r>
    </w:p>
    <w:p>
      <w:pPr>
        <w:pStyle w:val="FirstParagraph"/>
      </w:pPr>
      <w:r>
        <w:t xml:space="preserve">Las entidades no deberán depender de React, Firebase ni Firestore.</w:t>
      </w:r>
    </w:p>
    <w:p>
      <w:r>
        <w:pict>
          <v:rect style="width:0;height:1.5pt" o:hralign="center" o:hrstd="t" o:hr="t"/>
        </w:pict>
      </w:r>
    </w:p>
    <w:bookmarkEnd w:id="25"/>
    <w:bookmarkStart w:id="26" w:name="value-objects"/>
    <w:p>
      <w:pPr>
        <w:pStyle w:val="Heading1"/>
      </w:pPr>
      <w:r>
        <w:t xml:space="preserve">Value Objects</w:t>
      </w:r>
    </w:p>
    <w:p>
      <w:pPr>
        <w:pStyle w:val="FirstParagraph"/>
      </w:pPr>
      <w:r>
        <w:t xml:space="preserve">Crear objetos de valor para: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PhoneNumber</w:t>
      </w:r>
    </w:p>
    <w:p>
      <w:pPr>
        <w:pStyle w:val="Compact"/>
        <w:numPr>
          <w:ilvl w:val="0"/>
          <w:numId w:val="1003"/>
        </w:numPr>
      </w:pPr>
      <w:r>
        <w:t xml:space="preserve">Address</w:t>
      </w:r>
    </w:p>
    <w:p>
      <w:pPr>
        <w:pStyle w:val="Compact"/>
        <w:numPr>
          <w:ilvl w:val="0"/>
          <w:numId w:val="1003"/>
        </w:numPr>
      </w:pPr>
      <w:r>
        <w:t xml:space="preserve">CustomerStatus</w:t>
      </w:r>
    </w:p>
    <w:p>
      <w:pPr>
        <w:pStyle w:val="Compact"/>
        <w:numPr>
          <w:ilvl w:val="0"/>
          <w:numId w:val="1003"/>
        </w:numPr>
      </w:pPr>
      <w:r>
        <w:t xml:space="preserve">CustomerCategory</w:t>
      </w:r>
    </w:p>
    <w:p>
      <w:pPr>
        <w:pStyle w:val="FirstParagraph"/>
      </w:pPr>
      <w:r>
        <w:t xml:space="preserve">Los Value Objects encapsularán validaciones y reglas propias.</w:t>
      </w:r>
    </w:p>
    <w:p>
      <w:r>
        <w:pict>
          <v:rect style="width:0;height:1.5pt" o:hralign="center" o:hrstd="t" o:hr="t"/>
        </w:pict>
      </w:r>
    </w:p>
    <w:bookmarkEnd w:id="26"/>
    <w:bookmarkStart w:id="27" w:name="casos-de-uso"/>
    <w:p>
      <w:pPr>
        <w:pStyle w:val="Heading1"/>
      </w:pPr>
      <w:r>
        <w:t xml:space="preserve">Casos de Uso</w:t>
      </w:r>
    </w:p>
    <w:p>
      <w:pPr>
        <w:pStyle w:val="FirstParagraph"/>
      </w:pPr>
      <w:r>
        <w:t xml:space="preserve">Implementar los siguientes casos de uso:</w:t>
      </w:r>
    </w:p>
    <w:p>
      <w:pPr>
        <w:pStyle w:val="Compact"/>
        <w:numPr>
          <w:ilvl w:val="0"/>
          <w:numId w:val="1004"/>
        </w:numPr>
      </w:pPr>
      <w:r>
        <w:t xml:space="preserve">CreateCustomer</w:t>
      </w:r>
    </w:p>
    <w:p>
      <w:pPr>
        <w:pStyle w:val="Compact"/>
        <w:numPr>
          <w:ilvl w:val="0"/>
          <w:numId w:val="1004"/>
        </w:numPr>
      </w:pPr>
      <w:r>
        <w:t xml:space="preserve">GetCustomer</w:t>
      </w:r>
    </w:p>
    <w:p>
      <w:pPr>
        <w:pStyle w:val="Compact"/>
        <w:numPr>
          <w:ilvl w:val="0"/>
          <w:numId w:val="1004"/>
        </w:numPr>
      </w:pPr>
      <w:r>
        <w:t xml:space="preserve">UpdateCustomer</w:t>
      </w:r>
    </w:p>
    <w:p>
      <w:pPr>
        <w:pStyle w:val="Compact"/>
        <w:numPr>
          <w:ilvl w:val="0"/>
          <w:numId w:val="1004"/>
        </w:numPr>
      </w:pPr>
      <w:r>
        <w:t xml:space="preserve">ArchiveCustomer</w:t>
      </w:r>
    </w:p>
    <w:p>
      <w:pPr>
        <w:pStyle w:val="Compact"/>
        <w:numPr>
          <w:ilvl w:val="0"/>
          <w:numId w:val="1004"/>
        </w:numPr>
      </w:pPr>
      <w:r>
        <w:t xml:space="preserve">RestoreCustomer</w:t>
      </w:r>
    </w:p>
    <w:p>
      <w:pPr>
        <w:pStyle w:val="Compact"/>
        <w:numPr>
          <w:ilvl w:val="0"/>
          <w:numId w:val="1004"/>
        </w:numPr>
      </w:pPr>
      <w:r>
        <w:t xml:space="preserve">SearchCustomers</w:t>
      </w:r>
    </w:p>
    <w:p>
      <w:pPr>
        <w:pStyle w:val="Compact"/>
        <w:numPr>
          <w:ilvl w:val="0"/>
          <w:numId w:val="1004"/>
        </w:numPr>
      </w:pPr>
      <w:r>
        <w:t xml:space="preserve">UpdateCustomerPreferences</w:t>
      </w:r>
    </w:p>
    <w:p>
      <w:pPr>
        <w:pStyle w:val="Compact"/>
        <w:numPr>
          <w:ilvl w:val="0"/>
          <w:numId w:val="1004"/>
        </w:numPr>
      </w:pPr>
      <w:r>
        <w:t xml:space="preserve">AddCustomerTag</w:t>
      </w:r>
    </w:p>
    <w:p>
      <w:pPr>
        <w:pStyle w:val="Compact"/>
        <w:numPr>
          <w:ilvl w:val="0"/>
          <w:numId w:val="1004"/>
        </w:numPr>
      </w:pPr>
      <w:r>
        <w:t xml:space="preserve">RemoveCustomerTag</w:t>
      </w:r>
    </w:p>
    <w:p>
      <w:pPr>
        <w:pStyle w:val="Compact"/>
        <w:numPr>
          <w:ilvl w:val="0"/>
          <w:numId w:val="1004"/>
        </w:numPr>
      </w:pPr>
      <w:r>
        <w:t xml:space="preserve">ExportCustomers</w:t>
      </w:r>
    </w:p>
    <w:p>
      <w:pPr>
        <w:pStyle w:val="Compact"/>
        <w:numPr>
          <w:ilvl w:val="0"/>
          <w:numId w:val="1004"/>
        </w:numPr>
      </w:pPr>
      <w:r>
        <w:t xml:space="preserve">ImportCustomers</w:t>
      </w:r>
    </w:p>
    <w:p>
      <w:pPr>
        <w:pStyle w:val="Compact"/>
        <w:numPr>
          <w:ilvl w:val="0"/>
          <w:numId w:val="1004"/>
        </w:numPr>
      </w:pPr>
      <w:r>
        <w:t xml:space="preserve">MergeCustomers</w:t>
      </w:r>
    </w:p>
    <w:p>
      <w:pPr>
        <w:pStyle w:val="FirstParagraph"/>
      </w:pPr>
      <w:r>
        <w:t xml:space="preserve">Cada caso de uso deberá tener una única responsabilidad.</w:t>
      </w:r>
    </w:p>
    <w:p>
      <w:r>
        <w:pict>
          <v:rect style="width:0;height:1.5pt" o:hralign="center" o:hrstd="t" o:hr="t"/>
        </w:pict>
      </w:r>
    </w:p>
    <w:bookmarkEnd w:id="27"/>
    <w:bookmarkStart w:id="28" w:name="repositorios"/>
    <w:p>
      <w:pPr>
        <w:pStyle w:val="Heading1"/>
      </w:pPr>
      <w:r>
        <w:t xml:space="preserve">Repositorios</w:t>
      </w:r>
    </w:p>
    <w:p>
      <w:pPr>
        <w:pStyle w:val="FirstParagraph"/>
      </w:pPr>
      <w:r>
        <w:t xml:space="preserve">Definir una interfaz de dominio:</w:t>
      </w:r>
    </w:p>
    <w:p>
      <w:pPr>
        <w:pStyle w:val="Compact"/>
        <w:numPr>
          <w:ilvl w:val="0"/>
          <w:numId w:val="1005"/>
        </w:numPr>
      </w:pPr>
      <w:r>
        <w:t xml:space="preserve">CustomerRepository</w:t>
      </w:r>
    </w:p>
    <w:p>
      <w:pPr>
        <w:pStyle w:val="FirstParagraph"/>
      </w:pPr>
      <w:r>
        <w:t xml:space="preserve">La implementación concreta utilizará Firestore a través del paquete</w:t>
      </w:r>
      <w:r>
        <w:t xml:space="preserve"> </w:t>
      </w:r>
      <w:r>
        <w:rPr>
          <w:rStyle w:val="VerbatimChar"/>
        </w:rPr>
        <w:t xml:space="preserve">packages/firebase</w:t>
      </w:r>
      <w:r>
        <w:t xml:space="preserve">.</w:t>
      </w:r>
    </w:p>
    <w:p>
      <w:pPr>
        <w:pStyle w:val="BodyText"/>
      </w:pPr>
      <w:r>
        <w:t xml:space="preserve">No se permitirá acceder directamente al SDK desde los casos de uso.</w:t>
      </w:r>
    </w:p>
    <w:p>
      <w:r>
        <w:pict>
          <v:rect style="width:0;height:1.5pt" o:hralign="center" o:hrstd="t" o:hr="t"/>
        </w:pict>
      </w:r>
    </w:p>
    <w:bookmarkEnd w:id="28"/>
    <w:bookmarkStart w:id="29" w:name="eventos-de-dominio"/>
    <w:p>
      <w:pPr>
        <w:pStyle w:val="Heading1"/>
      </w:pPr>
      <w:r>
        <w:t xml:space="preserve">Eventos de Dominio</w:t>
      </w:r>
    </w:p>
    <w:p>
      <w:pPr>
        <w:pStyle w:val="FirstParagraph"/>
      </w:pPr>
      <w:r>
        <w:t xml:space="preserve">Implementar inicialmente:</w:t>
      </w:r>
    </w:p>
    <w:p>
      <w:pPr>
        <w:pStyle w:val="Compact"/>
        <w:numPr>
          <w:ilvl w:val="0"/>
          <w:numId w:val="1006"/>
        </w:numPr>
      </w:pPr>
      <w:r>
        <w:t xml:space="preserve">CustomerCreated</w:t>
      </w:r>
    </w:p>
    <w:p>
      <w:pPr>
        <w:pStyle w:val="Compact"/>
        <w:numPr>
          <w:ilvl w:val="0"/>
          <w:numId w:val="1006"/>
        </w:numPr>
      </w:pPr>
      <w:r>
        <w:t xml:space="preserve">CustomerUpdated</w:t>
      </w:r>
    </w:p>
    <w:p>
      <w:pPr>
        <w:pStyle w:val="Compact"/>
        <w:numPr>
          <w:ilvl w:val="0"/>
          <w:numId w:val="1006"/>
        </w:numPr>
      </w:pPr>
      <w:r>
        <w:t xml:space="preserve">CustomerArchived</w:t>
      </w:r>
    </w:p>
    <w:p>
      <w:pPr>
        <w:pStyle w:val="Compact"/>
        <w:numPr>
          <w:ilvl w:val="0"/>
          <w:numId w:val="1006"/>
        </w:numPr>
      </w:pPr>
      <w:r>
        <w:t xml:space="preserve">CustomerRestored</w:t>
      </w:r>
    </w:p>
    <w:p>
      <w:pPr>
        <w:pStyle w:val="Compact"/>
        <w:numPr>
          <w:ilvl w:val="0"/>
          <w:numId w:val="1006"/>
        </w:numPr>
      </w:pPr>
      <w:r>
        <w:t xml:space="preserve">CustomerTagAdded</w:t>
      </w:r>
    </w:p>
    <w:p>
      <w:pPr>
        <w:pStyle w:val="Compact"/>
        <w:numPr>
          <w:ilvl w:val="0"/>
          <w:numId w:val="1006"/>
        </w:numPr>
      </w:pPr>
      <w:r>
        <w:t xml:space="preserve">CustomerTagRemoved</w:t>
      </w:r>
    </w:p>
    <w:p>
      <w:pPr>
        <w:pStyle w:val="FirstParagraph"/>
      </w:pPr>
      <w:r>
        <w:t xml:space="preserve">Los eventos deberán integrarse con el sistema de observabilidad.</w:t>
      </w:r>
    </w:p>
    <w:p>
      <w:r>
        <w:pict>
          <v:rect style="width:0;height:1.5pt" o:hralign="center" o:hrstd="t" o:hr="t"/>
        </w:pict>
      </w:r>
    </w:p>
    <w:bookmarkEnd w:id="29"/>
    <w:bookmarkStart w:id="30" w:name="componentes-react"/>
    <w:p>
      <w:pPr>
        <w:pStyle w:val="Heading1"/>
      </w:pPr>
      <w:r>
        <w:t xml:space="preserve">Componentes React</w:t>
      </w:r>
    </w:p>
    <w:p>
      <w:pPr>
        <w:pStyle w:val="FirstParagraph"/>
      </w:pPr>
      <w:r>
        <w:t xml:space="preserve">Desarrollar:</w:t>
      </w:r>
    </w:p>
    <w:p>
      <w:pPr>
        <w:pStyle w:val="Compact"/>
        <w:numPr>
          <w:ilvl w:val="0"/>
          <w:numId w:val="1007"/>
        </w:numPr>
      </w:pPr>
      <w:r>
        <w:t xml:space="preserve">CustomerListPage</w:t>
      </w:r>
    </w:p>
    <w:p>
      <w:pPr>
        <w:pStyle w:val="Compact"/>
        <w:numPr>
          <w:ilvl w:val="0"/>
          <w:numId w:val="1007"/>
        </w:numPr>
      </w:pPr>
      <w:r>
        <w:t xml:space="preserve">CustomerDetailPage</w:t>
      </w:r>
    </w:p>
    <w:p>
      <w:pPr>
        <w:pStyle w:val="Compact"/>
        <w:numPr>
          <w:ilvl w:val="0"/>
          <w:numId w:val="1007"/>
        </w:numPr>
      </w:pPr>
      <w:r>
        <w:t xml:space="preserve">CustomerCreatePage</w:t>
      </w:r>
    </w:p>
    <w:p>
      <w:pPr>
        <w:pStyle w:val="Compact"/>
        <w:numPr>
          <w:ilvl w:val="0"/>
          <w:numId w:val="1007"/>
        </w:numPr>
      </w:pPr>
      <w:r>
        <w:t xml:space="preserve">CustomerEditPage</w:t>
      </w:r>
    </w:p>
    <w:p>
      <w:pPr>
        <w:pStyle w:val="FirstParagraph"/>
      </w:pPr>
      <w:r>
        <w:t xml:space="preserve">Y los componentes específicos:</w:t>
      </w:r>
    </w:p>
    <w:p>
      <w:pPr>
        <w:pStyle w:val="Compact"/>
        <w:numPr>
          <w:ilvl w:val="0"/>
          <w:numId w:val="1008"/>
        </w:numPr>
      </w:pPr>
      <w:r>
        <w:t xml:space="preserve">CustomerCard</w:t>
      </w:r>
    </w:p>
    <w:p>
      <w:pPr>
        <w:pStyle w:val="Compact"/>
        <w:numPr>
          <w:ilvl w:val="0"/>
          <w:numId w:val="1008"/>
        </w:numPr>
      </w:pPr>
      <w:r>
        <w:t xml:space="preserve">CustomerTable</w:t>
      </w:r>
    </w:p>
    <w:p>
      <w:pPr>
        <w:pStyle w:val="Compact"/>
        <w:numPr>
          <w:ilvl w:val="0"/>
          <w:numId w:val="1008"/>
        </w:numPr>
      </w:pPr>
      <w:r>
        <w:t xml:space="preserve">CustomerStatusBadge</w:t>
      </w:r>
    </w:p>
    <w:p>
      <w:pPr>
        <w:pStyle w:val="Compact"/>
        <w:numPr>
          <w:ilvl w:val="0"/>
          <w:numId w:val="1008"/>
        </w:numPr>
      </w:pPr>
      <w:r>
        <w:t xml:space="preserve">CustomerSummary</w:t>
      </w:r>
    </w:p>
    <w:p>
      <w:pPr>
        <w:pStyle w:val="Compact"/>
        <w:numPr>
          <w:ilvl w:val="0"/>
          <w:numId w:val="1008"/>
        </w:numPr>
      </w:pPr>
      <w:r>
        <w:t xml:space="preserve">CustomerTagList</w:t>
      </w:r>
    </w:p>
    <w:p>
      <w:pPr>
        <w:pStyle w:val="Compact"/>
        <w:numPr>
          <w:ilvl w:val="0"/>
          <w:numId w:val="1008"/>
        </w:numPr>
      </w:pPr>
      <w:r>
        <w:t xml:space="preserve">CustomerSearchBar</w:t>
      </w:r>
    </w:p>
    <w:p>
      <w:pPr>
        <w:pStyle w:val="Compact"/>
        <w:numPr>
          <w:ilvl w:val="0"/>
          <w:numId w:val="1008"/>
        </w:numPr>
      </w:pPr>
      <w:r>
        <w:t xml:space="preserve">CustomerFilterPanel</w:t>
      </w:r>
    </w:p>
    <w:p>
      <w:pPr>
        <w:pStyle w:val="FirstParagraph"/>
      </w:pPr>
      <w:r>
        <w:t xml:space="preserve">Todos deberán utilizar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hooks"/>
    <w:p>
      <w:pPr>
        <w:pStyle w:val="Heading1"/>
      </w:pPr>
      <w:r>
        <w:t xml:space="preserve">Hooks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9"/>
        </w:numPr>
      </w:pPr>
      <w:r>
        <w:t xml:space="preserve">useCustomers</w:t>
      </w:r>
    </w:p>
    <w:p>
      <w:pPr>
        <w:pStyle w:val="Compact"/>
        <w:numPr>
          <w:ilvl w:val="0"/>
          <w:numId w:val="1009"/>
        </w:numPr>
      </w:pPr>
      <w:r>
        <w:t xml:space="preserve">useCustomer</w:t>
      </w:r>
    </w:p>
    <w:p>
      <w:pPr>
        <w:pStyle w:val="Compact"/>
        <w:numPr>
          <w:ilvl w:val="0"/>
          <w:numId w:val="1009"/>
        </w:numPr>
      </w:pPr>
      <w:r>
        <w:t xml:space="preserve">useCreateCustomer</w:t>
      </w:r>
    </w:p>
    <w:p>
      <w:pPr>
        <w:pStyle w:val="Compact"/>
        <w:numPr>
          <w:ilvl w:val="0"/>
          <w:numId w:val="1009"/>
        </w:numPr>
      </w:pPr>
      <w:r>
        <w:t xml:space="preserve">useUpdateCustomer</w:t>
      </w:r>
    </w:p>
    <w:p>
      <w:pPr>
        <w:pStyle w:val="Compact"/>
        <w:numPr>
          <w:ilvl w:val="0"/>
          <w:numId w:val="1009"/>
        </w:numPr>
      </w:pPr>
      <w:r>
        <w:t xml:space="preserve">useArchiveCustomer</w:t>
      </w:r>
    </w:p>
    <w:p>
      <w:pPr>
        <w:pStyle w:val="Compact"/>
        <w:numPr>
          <w:ilvl w:val="0"/>
          <w:numId w:val="1009"/>
        </w:numPr>
      </w:pPr>
      <w:r>
        <w:t xml:space="preserve">useSearchCustomers</w:t>
      </w:r>
    </w:p>
    <w:p>
      <w:pPr>
        <w:pStyle w:val="FirstParagraph"/>
      </w:pPr>
      <w:r>
        <w:t xml:space="preserve">Los hooks consumirán casos de uso o servicios de aplicación, nunca el SDK de Firebase.</w:t>
      </w:r>
    </w:p>
    <w:p>
      <w:r>
        <w:pict>
          <v:rect style="width:0;height:1.5pt" o:hralign="center" o:hrstd="t" o:hr="t"/>
        </w:pict>
      </w:r>
    </w:p>
    <w:bookmarkEnd w:id="31"/>
    <w:bookmarkStart w:id="32" w:name="cloud-functions"/>
    <w:p>
      <w:pPr>
        <w:pStyle w:val="Heading1"/>
      </w:pPr>
      <w:r>
        <w:t xml:space="preserve">Cloud Functions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0"/>
        </w:numPr>
      </w:pPr>
      <w:r>
        <w:t xml:space="preserve">createCustomer</w:t>
      </w:r>
    </w:p>
    <w:p>
      <w:pPr>
        <w:pStyle w:val="Compact"/>
        <w:numPr>
          <w:ilvl w:val="0"/>
          <w:numId w:val="1010"/>
        </w:numPr>
      </w:pPr>
      <w:r>
        <w:t xml:space="preserve">updateCustomer</w:t>
      </w:r>
    </w:p>
    <w:p>
      <w:pPr>
        <w:pStyle w:val="Compact"/>
        <w:numPr>
          <w:ilvl w:val="0"/>
          <w:numId w:val="1010"/>
        </w:numPr>
      </w:pPr>
      <w:r>
        <w:t xml:space="preserve">archiveCustomer</w:t>
      </w:r>
    </w:p>
    <w:p>
      <w:pPr>
        <w:pStyle w:val="Compact"/>
        <w:numPr>
          <w:ilvl w:val="0"/>
          <w:numId w:val="1010"/>
        </w:numPr>
      </w:pPr>
      <w:r>
        <w:t xml:space="preserve">restoreCustomer</w:t>
      </w:r>
    </w:p>
    <w:p>
      <w:pPr>
        <w:pStyle w:val="Compact"/>
        <w:numPr>
          <w:ilvl w:val="0"/>
          <w:numId w:val="1010"/>
        </w:numPr>
      </w:pPr>
      <w:r>
        <w:t xml:space="preserve">importCustomers</w:t>
      </w:r>
    </w:p>
    <w:p>
      <w:pPr>
        <w:pStyle w:val="Compact"/>
        <w:numPr>
          <w:ilvl w:val="0"/>
          <w:numId w:val="1010"/>
        </w:numPr>
      </w:pPr>
      <w:r>
        <w:t xml:space="preserve">exportCustomers</w:t>
      </w:r>
    </w:p>
    <w:p>
      <w:pPr>
        <w:pStyle w:val="Compact"/>
        <w:numPr>
          <w:ilvl w:val="0"/>
          <w:numId w:val="1010"/>
        </w:numPr>
      </w:pPr>
      <w:r>
        <w:t xml:space="preserve">mergeCustomers</w:t>
      </w:r>
    </w:p>
    <w:p>
      <w:pPr>
        <w:pStyle w:val="FirstParagraph"/>
      </w:pPr>
      <w:r>
        <w:t xml:space="preserve">Todas las funciones deberán aplicar:</w:t>
      </w:r>
    </w:p>
    <w:p>
      <w:pPr>
        <w:pStyle w:val="Compact"/>
        <w:numPr>
          <w:ilvl w:val="0"/>
          <w:numId w:val="1011"/>
        </w:numPr>
      </w:pPr>
      <w:r>
        <w:t xml:space="preserve">Validación.</w:t>
      </w:r>
    </w:p>
    <w:p>
      <w:pPr>
        <w:pStyle w:val="Compact"/>
        <w:numPr>
          <w:ilvl w:val="0"/>
          <w:numId w:val="1011"/>
        </w:numPr>
      </w:pPr>
      <w:r>
        <w:t xml:space="preserve">Autorización.</w:t>
      </w:r>
    </w:p>
    <w:p>
      <w:pPr>
        <w:pStyle w:val="Compact"/>
        <w:numPr>
          <w:ilvl w:val="0"/>
          <w:numId w:val="1011"/>
        </w:numPr>
      </w:pPr>
      <w:r>
        <w:t xml:space="preserve">Logging.</w:t>
      </w:r>
    </w:p>
    <w:p>
      <w:pPr>
        <w:pStyle w:val="Compact"/>
        <w:numPr>
          <w:ilvl w:val="0"/>
          <w:numId w:val="1011"/>
        </w:numPr>
      </w:pPr>
      <w:r>
        <w:t xml:space="preserve">Auditoría.</w:t>
      </w:r>
    </w:p>
    <w:p>
      <w:pPr>
        <w:pStyle w:val="Compact"/>
        <w:numPr>
          <w:ilvl w:val="0"/>
          <w:numId w:val="1011"/>
        </w:numPr>
      </w:pPr>
      <w:r>
        <w:t xml:space="preserve">Result Pattern.</w:t>
      </w:r>
    </w:p>
    <w:p>
      <w:r>
        <w:pict>
          <v:rect style="width:0;height:1.5pt" o:hralign="center" o:hrstd="t" o:hr="t"/>
        </w:pict>
      </w:r>
    </w:p>
    <w:bookmarkEnd w:id="32"/>
    <w:bookmarkStart w:id="33" w:name="firestore"/>
    <w:p>
      <w:pPr>
        <w:pStyle w:val="Heading1"/>
      </w:pPr>
      <w:r>
        <w:t xml:space="preserve">Firestore</w:t>
      </w:r>
    </w:p>
    <w:p>
      <w:pPr>
        <w:pStyle w:val="FirstParagraph"/>
      </w:pPr>
      <w:r>
        <w:t xml:space="preserve">Colección principal:</w:t>
      </w:r>
    </w:p>
    <w:p>
      <w:pPr>
        <w:pStyle w:val="SourceCode"/>
      </w:pPr>
      <w:r>
        <w:rPr>
          <w:rStyle w:val="VerbatimChar"/>
        </w:rPr>
        <w:t xml:space="preserve">organizations/{organizationId}/customers/{customerId}</w:t>
      </w:r>
    </w:p>
    <w:p>
      <w:pPr>
        <w:pStyle w:val="FirstParagraph"/>
      </w:pPr>
      <w:r>
        <w:t xml:space="preserve">Subcolecciones previstas:</w:t>
      </w:r>
    </w:p>
    <w:p>
      <w:pPr>
        <w:pStyle w:val="Compact"/>
        <w:numPr>
          <w:ilvl w:val="0"/>
          <w:numId w:val="1012"/>
        </w:numPr>
      </w:pPr>
      <w:r>
        <w:t xml:space="preserve">notes</w:t>
      </w:r>
    </w:p>
    <w:p>
      <w:pPr>
        <w:pStyle w:val="Compact"/>
        <w:numPr>
          <w:ilvl w:val="0"/>
          <w:numId w:val="1012"/>
        </w:numPr>
      </w:pPr>
      <w:r>
        <w:t xml:space="preserve">documents</w:t>
      </w:r>
    </w:p>
    <w:p>
      <w:pPr>
        <w:pStyle w:val="Compact"/>
        <w:numPr>
          <w:ilvl w:val="0"/>
          <w:numId w:val="1012"/>
        </w:numPr>
      </w:pPr>
      <w:r>
        <w:t xml:space="preserve">audit</w:t>
      </w:r>
    </w:p>
    <w:p>
      <w:pPr>
        <w:pStyle w:val="Compact"/>
        <w:numPr>
          <w:ilvl w:val="0"/>
          <w:numId w:val="1012"/>
        </w:numPr>
      </w:pPr>
      <w:r>
        <w:t xml:space="preserve">preferencesHistory</w:t>
      </w:r>
    </w:p>
    <w:p>
      <w:pPr>
        <w:pStyle w:val="FirstParagraph"/>
      </w:pPr>
      <w:r>
        <w:t xml:space="preserve">No implementar otras subcolecciones sin aprobación arquitectónica.</w:t>
      </w:r>
    </w:p>
    <w:p>
      <w:r>
        <w:pict>
          <v:rect style="width:0;height:1.5pt" o:hralign="center" o:hrstd="t" o:hr="t"/>
        </w:pict>
      </w:r>
    </w:p>
    <w:bookmarkEnd w:id="33"/>
    <w:bookmarkStart w:id="34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3"/>
        </w:numPr>
      </w:pPr>
      <w:r>
        <w:t xml:space="preserve">Usuario autenticado.</w:t>
      </w:r>
    </w:p>
    <w:p>
      <w:pPr>
        <w:pStyle w:val="Compact"/>
        <w:numPr>
          <w:ilvl w:val="0"/>
          <w:numId w:val="1013"/>
        </w:numPr>
      </w:pPr>
      <w:r>
        <w:t xml:space="preserve">Organización.</w:t>
      </w:r>
    </w:p>
    <w:p>
      <w:pPr>
        <w:pStyle w:val="Compact"/>
        <w:numPr>
          <w:ilvl w:val="0"/>
          <w:numId w:val="1013"/>
        </w:numPr>
      </w:pPr>
      <w:r>
        <w:t xml:space="preserve">Permisos.</w:t>
      </w:r>
    </w:p>
    <w:p>
      <w:pPr>
        <w:pStyle w:val="Compact"/>
        <w:numPr>
          <w:ilvl w:val="0"/>
          <w:numId w:val="1013"/>
        </w:numPr>
      </w:pPr>
      <w:r>
        <w:t xml:space="preserve">Propiedad cuando corresponda.</w:t>
      </w:r>
    </w:p>
    <w:p>
      <w:pPr>
        <w:pStyle w:val="FirstParagraph"/>
      </w:pPr>
      <w:r>
        <w:t xml:space="preserve">Todas las operaciones deberán cumplir las especificaciones de</w:t>
      </w:r>
      <w:r>
        <w:t xml:space="preserve"> </w:t>
      </w:r>
      <w:r>
        <w:rPr>
          <w:rStyle w:val="VerbatimChar"/>
        </w:rPr>
        <w:t xml:space="preserve">SEC001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SEC002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CUSTOMER006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1" w:name="orden-de-implementación"/>
    <w:p>
      <w:pPr>
        <w:pStyle w:val="Heading1"/>
      </w:pPr>
      <w:r>
        <w:t xml:space="preserve">Orden de Implementación</w:t>
      </w:r>
    </w:p>
    <w:bookmarkStart w:id="35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14"/>
        </w:numPr>
      </w:pPr>
      <w:r>
        <w:t xml:space="preserve">Entidades.</w:t>
      </w:r>
    </w:p>
    <w:p>
      <w:pPr>
        <w:pStyle w:val="Compact"/>
        <w:numPr>
          <w:ilvl w:val="0"/>
          <w:numId w:val="1014"/>
        </w:numPr>
      </w:pPr>
      <w:r>
        <w:t xml:space="preserve">Value Objects.</w:t>
      </w:r>
    </w:p>
    <w:p>
      <w:pPr>
        <w:pStyle w:val="Compact"/>
        <w:numPr>
          <w:ilvl w:val="0"/>
          <w:numId w:val="1014"/>
        </w:numPr>
      </w:pPr>
      <w:r>
        <w:t xml:space="preserve">Interfaces.</w:t>
      </w:r>
    </w:p>
    <w:p>
      <w:pPr>
        <w:pStyle w:val="Compact"/>
        <w:numPr>
          <w:ilvl w:val="0"/>
          <w:numId w:val="1014"/>
        </w:numPr>
      </w:pPr>
      <w:r>
        <w:t xml:space="preserve">DTOs.</w:t>
      </w:r>
    </w:p>
    <w:p>
      <w:r>
        <w:pict>
          <v:rect style="width:0;height:1.5pt" o:hralign="center" o:hrstd="t" o:hr="t"/>
        </w:pict>
      </w:r>
    </w:p>
    <w:bookmarkEnd w:id="35"/>
    <w:bookmarkStart w:id="36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15"/>
        </w:numPr>
      </w:pPr>
      <w:r>
        <w:t xml:space="preserve">Repositorios.</w:t>
      </w:r>
    </w:p>
    <w:p>
      <w:pPr>
        <w:pStyle w:val="Compact"/>
        <w:numPr>
          <w:ilvl w:val="0"/>
          <w:numId w:val="1015"/>
        </w:numPr>
      </w:pPr>
      <w:r>
        <w:t xml:space="preserve">Conversores.</w:t>
      </w:r>
    </w:p>
    <w:p>
      <w:pPr>
        <w:pStyle w:val="Compact"/>
        <w:numPr>
          <w:ilvl w:val="0"/>
          <w:numId w:val="1015"/>
        </w:numPr>
      </w:pPr>
      <w:r>
        <w:t xml:space="preserve">Adaptadores Firestore.</w:t>
      </w:r>
    </w:p>
    <w:p>
      <w:r>
        <w:pict>
          <v:rect style="width:0;height:1.5pt" o:hralign="center" o:hrstd="t" o:hr="t"/>
        </w:pict>
      </w:r>
    </w:p>
    <w:bookmarkEnd w:id="36"/>
    <w:bookmarkStart w:id="37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16"/>
        </w:numPr>
      </w:pPr>
      <w:r>
        <w:t xml:space="preserve">Casos de uso.</w:t>
      </w:r>
    </w:p>
    <w:p>
      <w:pPr>
        <w:pStyle w:val="Compact"/>
        <w:numPr>
          <w:ilvl w:val="0"/>
          <w:numId w:val="1016"/>
        </w:numPr>
      </w:pPr>
      <w:r>
        <w:t xml:space="preserve">Eventos.</w:t>
      </w:r>
    </w:p>
    <w:p>
      <w:r>
        <w:pict>
          <v:rect style="width:0;height:1.5pt" o:hralign="center" o:hrstd="t" o:hr="t"/>
        </w:pict>
      </w:r>
    </w:p>
    <w:bookmarkEnd w:id="37"/>
    <w:bookmarkStart w:id="38" w:name="fase-4"/>
    <w:p>
      <w:pPr>
        <w:pStyle w:val="Heading2"/>
      </w:pPr>
      <w:r>
        <w:t xml:space="preserve">Fase 4</w:t>
      </w:r>
    </w:p>
    <w:p>
      <w:pPr>
        <w:pStyle w:val="Compact"/>
        <w:numPr>
          <w:ilvl w:val="0"/>
          <w:numId w:val="1017"/>
        </w:numPr>
      </w:pPr>
      <w:r>
        <w:t xml:space="preserve">Cloud Functions.</w:t>
      </w:r>
    </w:p>
    <w:p>
      <w:r>
        <w:pict>
          <v:rect style="width:0;height:1.5pt" o:hralign="center" o:hrstd="t" o:hr="t"/>
        </w:pict>
      </w:r>
    </w:p>
    <w:bookmarkEnd w:id="38"/>
    <w:bookmarkStart w:id="39" w:name="fase-5"/>
    <w:p>
      <w:pPr>
        <w:pStyle w:val="Heading2"/>
      </w:pPr>
      <w:r>
        <w:t xml:space="preserve">Fase 5</w:t>
      </w:r>
    </w:p>
    <w:p>
      <w:pPr>
        <w:pStyle w:val="Compact"/>
        <w:numPr>
          <w:ilvl w:val="0"/>
          <w:numId w:val="1018"/>
        </w:numPr>
      </w:pPr>
      <w:r>
        <w:t xml:space="preserve">Componentes UI.</w:t>
      </w:r>
    </w:p>
    <w:p>
      <w:pPr>
        <w:pStyle w:val="Compact"/>
        <w:numPr>
          <w:ilvl w:val="0"/>
          <w:numId w:val="1018"/>
        </w:numPr>
      </w:pPr>
      <w:r>
        <w:t xml:space="preserve">Hooks.</w:t>
      </w:r>
    </w:p>
    <w:p>
      <w:pPr>
        <w:pStyle w:val="Compact"/>
        <w:numPr>
          <w:ilvl w:val="0"/>
          <w:numId w:val="1018"/>
        </w:numPr>
      </w:pPr>
      <w:r>
        <w:t xml:space="preserve">Páginas.</w:t>
      </w:r>
    </w:p>
    <w:p>
      <w:r>
        <w:pict>
          <v:rect style="width:0;height:1.5pt" o:hralign="center" o:hrstd="t" o:hr="t"/>
        </w:pict>
      </w:r>
    </w:p>
    <w:bookmarkEnd w:id="39"/>
    <w:bookmarkStart w:id="40" w:name="fase-6"/>
    <w:p>
      <w:pPr>
        <w:pStyle w:val="Heading2"/>
      </w:pPr>
      <w:r>
        <w:t xml:space="preserve">Fase 6</w:t>
      </w:r>
    </w:p>
    <w:p>
      <w:pPr>
        <w:pStyle w:val="Compact"/>
        <w:numPr>
          <w:ilvl w:val="0"/>
          <w:numId w:val="1019"/>
        </w:numPr>
      </w:pPr>
      <w:r>
        <w:t xml:space="preserve">Pruebas unitarias.</w:t>
      </w:r>
    </w:p>
    <w:p>
      <w:pPr>
        <w:pStyle w:val="Compact"/>
        <w:numPr>
          <w:ilvl w:val="0"/>
          <w:numId w:val="1019"/>
        </w:numPr>
      </w:pPr>
      <w:r>
        <w:t xml:space="preserve">Pruebas de integración.</w:t>
      </w:r>
    </w:p>
    <w:p>
      <w:pPr>
        <w:pStyle w:val="Compact"/>
        <w:numPr>
          <w:ilvl w:val="0"/>
          <w:numId w:val="1019"/>
        </w:numPr>
      </w:pPr>
      <w:r>
        <w:t xml:space="preserve">Pruebas E2E.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e2bef64caa0645bab8b025ef692799e7af4ad09"/>
    <w:p>
      <w:pPr>
        <w:pStyle w:val="Heading1"/>
      </w:pPr>
      <w:r>
        <w:t xml:space="preserve">Definición de Terminado (Definition of Done)</w:t>
      </w:r>
    </w:p>
    <w:p>
      <w:pPr>
        <w:pStyle w:val="FirstParagraph"/>
      </w:pPr>
      <w:r>
        <w:t xml:space="preserve">El dominio se considerará finalizado únicamente cuando:</w:t>
      </w:r>
    </w:p>
    <w:p>
      <w:pPr>
        <w:pStyle w:val="Compact"/>
        <w:numPr>
          <w:ilvl w:val="0"/>
          <w:numId w:val="1020"/>
        </w:numPr>
      </w:pPr>
      <w:r>
        <w:t xml:space="preserve">Todos los casos de uso estén implementados.</w:t>
      </w:r>
    </w:p>
    <w:p>
      <w:pPr>
        <w:pStyle w:val="Compact"/>
        <w:numPr>
          <w:ilvl w:val="0"/>
          <w:numId w:val="1020"/>
        </w:numPr>
      </w:pPr>
      <w:r>
        <w:t xml:space="preserve">Todas las pruebas sean satisfactorias.</w:t>
      </w:r>
    </w:p>
    <w:p>
      <w:pPr>
        <w:pStyle w:val="Compact"/>
        <w:numPr>
          <w:ilvl w:val="0"/>
          <w:numId w:val="1020"/>
        </w:numPr>
      </w:pPr>
      <w:r>
        <w:t xml:space="preserve">No existan errores críticos.</w:t>
      </w:r>
    </w:p>
    <w:p>
      <w:pPr>
        <w:pStyle w:val="Compact"/>
        <w:numPr>
          <w:ilvl w:val="0"/>
          <w:numId w:val="1020"/>
        </w:numPr>
      </w:pPr>
      <w:r>
        <w:t xml:space="preserve">Se cumplan los estándares UI.</w:t>
      </w:r>
    </w:p>
    <w:p>
      <w:pPr>
        <w:pStyle w:val="Compact"/>
        <w:numPr>
          <w:ilvl w:val="0"/>
          <w:numId w:val="1020"/>
        </w:numPr>
      </w:pPr>
      <w:r>
        <w:t xml:space="preserve">Se cumplan las reglas de seguridad.</w:t>
      </w:r>
    </w:p>
    <w:p>
      <w:pPr>
        <w:pStyle w:val="Compact"/>
        <w:numPr>
          <w:ilvl w:val="0"/>
          <w:numId w:val="1020"/>
        </w:numPr>
      </w:pPr>
      <w:r>
        <w:t xml:space="preserve">La documentación esté actualizada.</w:t>
      </w:r>
    </w:p>
    <w:p>
      <w:pPr>
        <w:pStyle w:val="Compact"/>
        <w:numPr>
          <w:ilvl w:val="0"/>
          <w:numId w:val="1020"/>
        </w:numPr>
      </w:pPr>
      <w:r>
        <w:t xml:space="preserve">La revisión arquitectónica sea aprobada.</w:t>
      </w:r>
    </w:p>
    <w:p>
      <w:r>
        <w:pict>
          <v:rect style="width:0;height:1.5pt" o:hralign="center" o:hrstd="t" o:hr="t"/>
        </w:pict>
      </w:r>
    </w:p>
    <w:bookmarkEnd w:id="42"/>
    <w:bookmarkStart w:id="43" w:name="criterios-de-revisión"/>
    <w:p>
      <w:pPr>
        <w:pStyle w:val="Heading1"/>
      </w:pPr>
      <w:r>
        <w:t xml:space="preserve">Criterios de Revisión</w:t>
      </w:r>
    </w:p>
    <w:p>
      <w:pPr>
        <w:pStyle w:val="FirstParagraph"/>
      </w:pPr>
      <w:r>
        <w:t xml:space="preserve">Antes de aprobar el código se verificará:</w:t>
      </w:r>
    </w:p>
    <w:p>
      <w:pPr>
        <w:pStyle w:val="Compact"/>
        <w:numPr>
          <w:ilvl w:val="0"/>
          <w:numId w:val="1021"/>
        </w:numPr>
      </w:pPr>
      <w:r>
        <w:t xml:space="preserve">Cumplimiento de Clean Architecture.</w:t>
      </w:r>
    </w:p>
    <w:p>
      <w:pPr>
        <w:pStyle w:val="Compact"/>
        <w:numPr>
          <w:ilvl w:val="0"/>
          <w:numId w:val="1021"/>
        </w:numPr>
      </w:pPr>
      <w:r>
        <w:t xml:space="preserve">Cumplimiento de SOLID.</w:t>
      </w:r>
    </w:p>
    <w:p>
      <w:pPr>
        <w:pStyle w:val="Compact"/>
        <w:numPr>
          <w:ilvl w:val="0"/>
          <w:numId w:val="1021"/>
        </w:numPr>
      </w:pPr>
      <w:r>
        <w:t xml:space="preserve">Ausencia de lógica duplicada.</w:t>
      </w:r>
    </w:p>
    <w:p>
      <w:pPr>
        <w:pStyle w:val="Compact"/>
        <w:numPr>
          <w:ilvl w:val="0"/>
          <w:numId w:val="1021"/>
        </w:numPr>
      </w:pPr>
      <w:r>
        <w:t xml:space="preserve">Correcto uso del Result Pattern.</w:t>
      </w:r>
    </w:p>
    <w:p>
      <w:pPr>
        <w:pStyle w:val="Compact"/>
        <w:numPr>
          <w:ilvl w:val="0"/>
          <w:numId w:val="1021"/>
        </w:numPr>
      </w:pPr>
      <w:r>
        <w:t xml:space="preserve">Integración con Logging.</w:t>
      </w:r>
    </w:p>
    <w:p>
      <w:pPr>
        <w:pStyle w:val="Compact"/>
        <w:numPr>
          <w:ilvl w:val="0"/>
          <w:numId w:val="1021"/>
        </w:numPr>
      </w:pPr>
      <w:r>
        <w:t xml:space="preserve">Integración con Security.</w:t>
      </w:r>
    </w:p>
    <w:p>
      <w:pPr>
        <w:pStyle w:val="Compact"/>
        <w:numPr>
          <w:ilvl w:val="0"/>
          <w:numId w:val="1021"/>
        </w:numPr>
      </w:pPr>
      <w:r>
        <w:t xml:space="preserve">Optimización de consultas Firestore.</w:t>
      </w:r>
    </w:p>
    <w:p>
      <w:pPr>
        <w:pStyle w:val="Compact"/>
        <w:numPr>
          <w:ilvl w:val="0"/>
          <w:numId w:val="1021"/>
        </w:numPr>
      </w:pPr>
      <w:r>
        <w:t xml:space="preserve">Accesibilidad de la interfaz.</w:t>
      </w:r>
    </w:p>
    <w:p>
      <w:r>
        <w:pict>
          <v:rect style="width:0;height:1.5pt" o:hralign="center" o:hrstd="t" o:hr="t"/>
        </w:pict>
      </w:r>
    </w:p>
    <w:bookmarkEnd w:id="43"/>
    <w:bookmarkStart w:id="44" w:name="entregables"/>
    <w:p>
      <w:pPr>
        <w:pStyle w:val="Heading1"/>
      </w:pPr>
      <w:r>
        <w:t xml:space="preserve">Entregables</w:t>
      </w:r>
    </w:p>
    <w:p>
      <w:pPr>
        <w:pStyle w:val="FirstParagraph"/>
      </w:pPr>
      <w:r>
        <w:t xml:space="preserve">Antigravity deberá entregar:</w:t>
      </w:r>
    </w:p>
    <w:p>
      <w:pPr>
        <w:pStyle w:val="Compact"/>
        <w:numPr>
          <w:ilvl w:val="0"/>
          <w:numId w:val="1022"/>
        </w:numPr>
      </w:pPr>
      <w:r>
        <w:t xml:space="preserve">Código fuente.</w:t>
      </w:r>
    </w:p>
    <w:p>
      <w:pPr>
        <w:pStyle w:val="Compact"/>
        <w:numPr>
          <w:ilvl w:val="0"/>
          <w:numId w:val="1022"/>
        </w:numPr>
      </w:pPr>
      <w:r>
        <w:t xml:space="preserve">Pruebas.</w:t>
      </w:r>
    </w:p>
    <w:p>
      <w:pPr>
        <w:pStyle w:val="Compact"/>
        <w:numPr>
          <w:ilvl w:val="0"/>
          <w:numId w:val="1022"/>
        </w:numPr>
      </w:pPr>
      <w:r>
        <w:t xml:space="preserve">Cobertura.</w:t>
      </w:r>
    </w:p>
    <w:p>
      <w:pPr>
        <w:pStyle w:val="Compact"/>
        <w:numPr>
          <w:ilvl w:val="0"/>
          <w:numId w:val="1022"/>
        </w:numPr>
      </w:pPr>
      <w:r>
        <w:t xml:space="preserve">Documentación técnica.</w:t>
      </w:r>
    </w:p>
    <w:p>
      <w:pPr>
        <w:pStyle w:val="Compact"/>
        <w:numPr>
          <w:ilvl w:val="0"/>
          <w:numId w:val="1022"/>
        </w:numPr>
      </w:pPr>
      <w:r>
        <w:t xml:space="preserve">Registro de decisiones relevantes.</w:t>
      </w:r>
    </w:p>
    <w:p>
      <w:pPr>
        <w:pStyle w:val="Compact"/>
        <w:numPr>
          <w:ilvl w:val="0"/>
          <w:numId w:val="1022"/>
        </w:numPr>
      </w:pPr>
      <w:r>
        <w:t xml:space="preserve">Evidencias de ejecución de pruebas.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3"/>
        </w:numPr>
      </w:pPr>
      <w:r>
        <w:t xml:space="preserve">CUSTOMER001–CUSTOMER007</w:t>
      </w:r>
    </w:p>
    <w:p>
      <w:pPr>
        <w:pStyle w:val="Compact"/>
        <w:numPr>
          <w:ilvl w:val="0"/>
          <w:numId w:val="1023"/>
        </w:numPr>
      </w:pPr>
      <w:r>
        <w:t xml:space="preserve">FB001–FB003</w:t>
      </w:r>
    </w:p>
    <w:p>
      <w:pPr>
        <w:pStyle w:val="Compact"/>
        <w:numPr>
          <w:ilvl w:val="0"/>
          <w:numId w:val="1023"/>
        </w:numPr>
      </w:pPr>
      <w:r>
        <w:t xml:space="preserve">CORE001–CORE004</w:t>
      </w:r>
    </w:p>
    <w:p>
      <w:pPr>
        <w:pStyle w:val="Compact"/>
        <w:numPr>
          <w:ilvl w:val="0"/>
          <w:numId w:val="1023"/>
        </w:numPr>
      </w:pPr>
      <w:r>
        <w:t xml:space="preserve">UI001–UI004</w:t>
      </w:r>
    </w:p>
    <w:p>
      <w:pPr>
        <w:pStyle w:val="Compact"/>
        <w:numPr>
          <w:ilvl w:val="0"/>
          <w:numId w:val="1023"/>
        </w:numPr>
      </w:pPr>
      <w:r>
        <w:t xml:space="preserve">SEC001–SEC002</w:t>
      </w:r>
    </w:p>
    <w:p>
      <w:pPr>
        <w:pStyle w:val="Compact"/>
        <w:numPr>
          <w:ilvl w:val="0"/>
          <w:numId w:val="1023"/>
        </w:numPr>
      </w:pPr>
      <w:r>
        <w:t xml:space="preserve">AUTH001–AUTH004</w:t>
      </w:r>
    </w:p>
    <w:p>
      <w:r>
        <w:pict>
          <v:rect style="width:0;height:1.5pt" o:hralign="center" o:hrstd="t" o:hr="t"/>
        </w:pict>
      </w:r>
    </w:p>
    <w:bookmarkEnd w:id="45"/>
    <w:bookmarkStart w:id="4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 por Antigravity.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2026-06-30T17:05:49Z</dcterms:created>
  <dcterms:modified xsi:type="dcterms:W3CDTF">2026-06-30T17:05:49Z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