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pp002-appointment-data-model"/>
    <w:p>
      <w:pPr>
        <w:pStyle w:val="Heading1"/>
      </w:pPr>
      <w:r>
        <w:t xml:space="preserve">APP002 — APPOINTMENT DATA MODEL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modelo de datos oficial del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.</w:t>
      </w:r>
    </w:p>
    <w:p>
      <w:pPr>
        <w:pStyle w:val="BodyText"/>
      </w:pPr>
      <w:r>
        <w:t xml:space="preserve">El modelo permitirá gestionar reservas, disponibilidad y seguimiento de citas de forma consistente, eficiente y preparada para múltiples organizaciones y futuras ampliaciones.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Colecciones.</w:t>
      </w:r>
    </w:p>
    <w:p>
      <w:pPr>
        <w:pStyle w:val="Compact"/>
        <w:numPr>
          <w:ilvl w:val="0"/>
          <w:numId w:val="1001"/>
        </w:numPr>
      </w:pPr>
      <w:r>
        <w:t xml:space="preserve">Documentos.</w:t>
      </w:r>
    </w:p>
    <w:p>
      <w:pPr>
        <w:pStyle w:val="Compact"/>
        <w:numPr>
          <w:ilvl w:val="0"/>
          <w:numId w:val="1001"/>
        </w:numPr>
      </w:pPr>
      <w:r>
        <w:t xml:space="preserve">Relaciones.</w:t>
      </w:r>
    </w:p>
    <w:p>
      <w:pPr>
        <w:pStyle w:val="Compact"/>
        <w:numPr>
          <w:ilvl w:val="0"/>
          <w:numId w:val="1001"/>
        </w:numPr>
      </w:pPr>
      <w:r>
        <w:t xml:space="preserve">Índices.</w:t>
      </w:r>
    </w:p>
    <w:p>
      <w:pPr>
        <w:pStyle w:val="Compact"/>
        <w:numPr>
          <w:ilvl w:val="0"/>
          <w:numId w:val="1001"/>
        </w:numPr>
      </w:pPr>
      <w:r>
        <w:t xml:space="preserve">Estrategia de auditoría.</w:t>
      </w:r>
    </w:p>
    <w:p>
      <w:pPr>
        <w:pStyle w:val="Compact"/>
        <w:numPr>
          <w:ilvl w:val="0"/>
          <w:numId w:val="1001"/>
        </w:numPr>
      </w:pPr>
      <w:r>
        <w:t xml:space="preserve">Escalabilidad.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pPr>
        <w:pStyle w:val="Compact"/>
        <w:numPr>
          <w:ilvl w:val="0"/>
          <w:numId w:val="1002"/>
        </w:numPr>
      </w:pPr>
      <w:r>
        <w:t xml:space="preserve">Facturación.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pPr>
        <w:pStyle w:val="Compact"/>
        <w:numPr>
          <w:ilvl w:val="0"/>
          <w:numId w:val="1002"/>
        </w:numPr>
      </w:pPr>
      <w:r>
        <w:t xml:space="preserve">Inventario.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El modelo deberá cumplir:</w:t>
      </w:r>
    </w:p>
    <w:p>
      <w:pPr>
        <w:pStyle w:val="Compact"/>
        <w:numPr>
          <w:ilvl w:val="0"/>
          <w:numId w:val="1003"/>
        </w:numPr>
      </w:pPr>
      <w:r>
        <w:t xml:space="preserve">Multi-Tenant.</w:t>
      </w:r>
    </w:p>
    <w:p>
      <w:pPr>
        <w:pStyle w:val="Compact"/>
        <w:numPr>
          <w:ilvl w:val="0"/>
          <w:numId w:val="1003"/>
        </w:numPr>
      </w:pPr>
      <w:r>
        <w:t xml:space="preserve">Documentos ligeros.</w:t>
      </w:r>
    </w:p>
    <w:p>
      <w:pPr>
        <w:pStyle w:val="Compact"/>
        <w:numPr>
          <w:ilvl w:val="0"/>
          <w:numId w:val="1003"/>
        </w:numPr>
      </w:pPr>
      <w:r>
        <w:t xml:space="preserve">Consultas eficientes.</w:t>
      </w:r>
    </w:p>
    <w:p>
      <w:pPr>
        <w:pStyle w:val="Compact"/>
        <w:numPr>
          <w:ilvl w:val="0"/>
          <w:numId w:val="1003"/>
        </w:numPr>
      </w:pPr>
      <w:r>
        <w:t xml:space="preserve">Desnormalización controlada.</w:t>
      </w:r>
    </w:p>
    <w:p>
      <w:pPr>
        <w:pStyle w:val="Compact"/>
        <w:numPr>
          <w:ilvl w:val="0"/>
          <w:numId w:val="1003"/>
        </w:numPr>
      </w:pPr>
      <w:r>
        <w:t xml:space="preserve">Integridad histórica.</w:t>
      </w:r>
    </w:p>
    <w:p>
      <w:pPr>
        <w:pStyle w:val="Compact"/>
        <w:numPr>
          <w:ilvl w:val="0"/>
          <w:numId w:val="1003"/>
        </w:numPr>
      </w:pPr>
      <w:r>
        <w:t xml:space="preserve">Auditoría.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appointments</w:t>
      </w:r>
      <w:r>
        <w:br/>
      </w:r>
      <w:r>
        <w:rPr>
          <w:rStyle w:val="VerbatimChar"/>
        </w:rPr>
        <w:t xml:space="preserve">        └── {appointmentId}</w:t>
      </w:r>
    </w:p>
    <w:p>
      <w:pPr>
        <w:pStyle w:val="FirstParagraph"/>
      </w:pPr>
      <w:r>
        <w:t xml:space="preserve">Cada cita pertenece a una única organización.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relación-con-otros-dominios"/>
    <w:p>
      <w:pPr>
        <w:pStyle w:val="Heading1"/>
      </w:pPr>
      <w:r>
        <w:t xml:space="preserve">Relación con Otros Dominios</w:t>
      </w:r>
    </w:p>
    <w:p>
      <w:pPr>
        <w:pStyle w:val="SourceCode"/>
      </w:pP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customerId</w:t>
      </w:r>
      <w:r>
        <w:br/>
      </w:r>
      <w:r>
        <w:rPr>
          <w:rStyle w:val="VerbatimChar"/>
        </w:rPr>
        <w:t xml:space="preserve">    ├── specialistId</w:t>
      </w:r>
      <w:r>
        <w:br/>
      </w:r>
      <w:r>
        <w:rPr>
          <w:rStyle w:val="VerbatimChar"/>
        </w:rPr>
        <w:t xml:space="preserve">    ├── treatmentId</w:t>
      </w:r>
      <w:r>
        <w:br/>
      </w:r>
      <w:r>
        <w:rPr>
          <w:rStyle w:val="VerbatimChar"/>
        </w:rPr>
        <w:t xml:space="preserve">    └── locationId (futuro)</w:t>
      </w:r>
    </w:p>
    <w:p>
      <w:pPr>
        <w:pStyle w:val="FirstParagraph"/>
      </w:pPr>
      <w:r>
        <w:t xml:space="preserve">Las relaciones se realizan mediante identificadores.</w:t>
      </w:r>
    </w:p>
    <w:p>
      <w:pPr>
        <w:pStyle w:val="BodyText"/>
      </w:pPr>
      <w:r>
        <w:t xml:space="preserve">No se almacenarán documentos completos.</w:t>
      </w:r>
    </w:p>
    <w:p>
      <w:r>
        <w:pict>
          <v:rect style="width:0;height:1.5pt" o:hralign="center" o:hrstd="t" o:hr="t"/>
        </w:pict>
      </w:r>
    </w:p>
    <w:bookmarkEnd w:id="26"/>
    <w:bookmarkStart w:id="36" w:name="documento-appointment"/>
    <w:p>
      <w:pPr>
        <w:pStyle w:val="Heading1"/>
      </w:pPr>
      <w:r>
        <w:t xml:space="preserve">Documento Appointment</w:t>
      </w:r>
    </w:p>
    <w:bookmarkStart w:id="27" w:name="identificación"/>
    <w:p>
      <w:pPr>
        <w:pStyle w:val="Heading2"/>
      </w:pPr>
      <w:r>
        <w:t xml:space="preserve">Identificación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organizationId</w:t>
      </w:r>
    </w:p>
    <w:p>
      <w:r>
        <w:pict>
          <v:rect style="width:0;height:1.5pt" o:hralign="center" o:hrstd="t" o:hr="t"/>
        </w:pict>
      </w:r>
    </w:p>
    <w:bookmarkEnd w:id="27"/>
    <w:bookmarkStart w:id="28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5"/>
        </w:numPr>
      </w:pPr>
      <w:r>
        <w:t xml:space="preserve">customerId</w:t>
      </w:r>
    </w:p>
    <w:p>
      <w:pPr>
        <w:pStyle w:val="Compact"/>
        <w:numPr>
          <w:ilvl w:val="0"/>
          <w:numId w:val="1005"/>
        </w:numPr>
      </w:pPr>
      <w:r>
        <w:t xml:space="preserve">specialistId</w:t>
      </w:r>
    </w:p>
    <w:p>
      <w:pPr>
        <w:pStyle w:val="Compact"/>
        <w:numPr>
          <w:ilvl w:val="0"/>
          <w:numId w:val="1005"/>
        </w:numPr>
      </w:pPr>
      <w:r>
        <w:t xml:space="preserve">treatmentId</w:t>
      </w:r>
    </w:p>
    <w:p>
      <w:r>
        <w:pict>
          <v:rect style="width:0;height:1.5pt" o:hralign="center" o:hrstd="t" o:hr="t"/>
        </w:pict>
      </w:r>
    </w:p>
    <w:bookmarkEnd w:id="28"/>
    <w:bookmarkStart w:id="29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6"/>
        </w:numPr>
      </w:pPr>
      <w:r>
        <w:t xml:space="preserve">appointmentDate</w:t>
      </w:r>
    </w:p>
    <w:p>
      <w:pPr>
        <w:pStyle w:val="Compact"/>
        <w:numPr>
          <w:ilvl w:val="0"/>
          <w:numId w:val="1006"/>
        </w:numPr>
      </w:pPr>
      <w:r>
        <w:t xml:space="preserve">startTime</w:t>
      </w:r>
    </w:p>
    <w:p>
      <w:pPr>
        <w:pStyle w:val="Compact"/>
        <w:numPr>
          <w:ilvl w:val="0"/>
          <w:numId w:val="1006"/>
        </w:numPr>
      </w:pPr>
      <w:r>
        <w:t xml:space="preserve">endTime</w:t>
      </w:r>
    </w:p>
    <w:p>
      <w:pPr>
        <w:pStyle w:val="Compact"/>
        <w:numPr>
          <w:ilvl w:val="0"/>
          <w:numId w:val="1006"/>
        </w:numPr>
      </w:pPr>
      <w:r>
        <w:t xml:space="preserve">durationMinutes</w:t>
      </w:r>
    </w:p>
    <w:p>
      <w:pPr>
        <w:pStyle w:val="Compact"/>
        <w:numPr>
          <w:ilvl w:val="0"/>
          <w:numId w:val="1006"/>
        </w:numPr>
      </w:pPr>
      <w:r>
        <w:t xml:space="preserve">timezone</w:t>
      </w:r>
    </w:p>
    <w:p>
      <w:r>
        <w:pict>
          <v:rect style="width:0;height:1.5pt" o:hralign="center" o:hrstd="t" o:hr="t"/>
        </w:pict>
      </w:r>
    </w:p>
    <w:bookmarkEnd w:id="29"/>
    <w:bookmarkStart w:id="30" w:name="estado"/>
    <w:p>
      <w:pPr>
        <w:pStyle w:val="Heading2"/>
      </w:pPr>
      <w:r>
        <w:t xml:space="preserve">Estado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FirstParagraph"/>
      </w:pPr>
      <w:r>
        <w:t xml:space="preserve">Valores iniciales:</w:t>
      </w:r>
    </w:p>
    <w:p>
      <w:pPr>
        <w:pStyle w:val="Compact"/>
        <w:numPr>
          <w:ilvl w:val="0"/>
          <w:numId w:val="1008"/>
        </w:numPr>
      </w:pPr>
      <w:r>
        <w:t xml:space="preserve">DRAFT</w:t>
      </w:r>
    </w:p>
    <w:p>
      <w:pPr>
        <w:pStyle w:val="Compact"/>
        <w:numPr>
          <w:ilvl w:val="0"/>
          <w:numId w:val="1008"/>
        </w:numPr>
      </w:pPr>
      <w:r>
        <w:t xml:space="preserve">PENDING_CONFIRMATION</w:t>
      </w:r>
    </w:p>
    <w:p>
      <w:pPr>
        <w:pStyle w:val="Compact"/>
        <w:numPr>
          <w:ilvl w:val="0"/>
          <w:numId w:val="1008"/>
        </w:numPr>
      </w:pPr>
      <w:r>
        <w:t xml:space="preserve">CONFIRMED</w:t>
      </w:r>
    </w:p>
    <w:p>
      <w:pPr>
        <w:pStyle w:val="Compact"/>
        <w:numPr>
          <w:ilvl w:val="0"/>
          <w:numId w:val="1008"/>
        </w:numPr>
      </w:pPr>
      <w:r>
        <w:t xml:space="preserve">CHECKED_IN</w:t>
      </w:r>
    </w:p>
    <w:p>
      <w:pPr>
        <w:pStyle w:val="Compact"/>
        <w:numPr>
          <w:ilvl w:val="0"/>
          <w:numId w:val="1008"/>
        </w:numPr>
      </w:pPr>
      <w:r>
        <w:t xml:space="preserve">IN_PROGRESS</w:t>
      </w:r>
    </w:p>
    <w:p>
      <w:pPr>
        <w:pStyle w:val="Compact"/>
        <w:numPr>
          <w:ilvl w:val="0"/>
          <w:numId w:val="1008"/>
        </w:numPr>
      </w:pPr>
      <w:r>
        <w:t xml:space="preserve">COMPLETED</w:t>
      </w:r>
    </w:p>
    <w:p>
      <w:pPr>
        <w:pStyle w:val="Compact"/>
        <w:numPr>
          <w:ilvl w:val="0"/>
          <w:numId w:val="1008"/>
        </w:numPr>
      </w:pPr>
      <w:r>
        <w:t xml:space="preserve">CANCELLED</w:t>
      </w:r>
    </w:p>
    <w:p>
      <w:pPr>
        <w:pStyle w:val="Compact"/>
        <w:numPr>
          <w:ilvl w:val="0"/>
          <w:numId w:val="1008"/>
        </w:numPr>
      </w:pPr>
      <w:r>
        <w:t xml:space="preserve">NO_SHOW</w:t>
      </w:r>
    </w:p>
    <w:p>
      <w:r>
        <w:pict>
          <v:rect style="width:0;height:1.5pt" o:hralign="center" o:hrstd="t" o:hr="t"/>
        </w:pict>
      </w:r>
    </w:p>
    <w:bookmarkEnd w:id="30"/>
    <w:bookmarkStart w:id="31" w:name="instantánea-histórica"/>
    <w:p>
      <w:pPr>
        <w:pStyle w:val="Heading2"/>
      </w:pPr>
      <w:r>
        <w:t xml:space="preserve">Instantánea Histórica</w:t>
      </w:r>
    </w:p>
    <w:p>
      <w:pPr>
        <w:pStyle w:val="FirstParagraph"/>
      </w:pPr>
      <w:r>
        <w:t xml:space="preserve">Para preservar el contexto histórico se almacenarán:</w:t>
      </w:r>
    </w:p>
    <w:p>
      <w:pPr>
        <w:pStyle w:val="Compact"/>
        <w:numPr>
          <w:ilvl w:val="0"/>
          <w:numId w:val="1009"/>
        </w:numPr>
      </w:pPr>
      <w:r>
        <w:t xml:space="preserve">customerDisplayName</w:t>
      </w:r>
    </w:p>
    <w:p>
      <w:pPr>
        <w:pStyle w:val="Compact"/>
        <w:numPr>
          <w:ilvl w:val="0"/>
          <w:numId w:val="1009"/>
        </w:numPr>
      </w:pPr>
      <w:r>
        <w:t xml:space="preserve">specialistDisplayName</w:t>
      </w:r>
    </w:p>
    <w:p>
      <w:pPr>
        <w:pStyle w:val="Compact"/>
        <w:numPr>
          <w:ilvl w:val="0"/>
          <w:numId w:val="1009"/>
        </w:numPr>
      </w:pPr>
      <w:r>
        <w:t xml:space="preserve">treatmentName</w:t>
      </w:r>
    </w:p>
    <w:p>
      <w:pPr>
        <w:pStyle w:val="Compact"/>
        <w:numPr>
          <w:ilvl w:val="0"/>
          <w:numId w:val="1009"/>
        </w:numPr>
      </w:pPr>
      <w:r>
        <w:t xml:space="preserve">agreedPrice</w:t>
      </w:r>
    </w:p>
    <w:p>
      <w:pPr>
        <w:pStyle w:val="Compact"/>
        <w:numPr>
          <w:ilvl w:val="0"/>
          <w:numId w:val="1009"/>
        </w:numPr>
      </w:pPr>
      <w:r>
        <w:t xml:space="preserve">plannedDurationMinutes</w:t>
      </w:r>
    </w:p>
    <w:p>
      <w:pPr>
        <w:pStyle w:val="FirstParagraph"/>
      </w:pPr>
      <w:r>
        <w:t xml:space="preserve">Estos datos representan una fotografía del momento de la reserva y no se sincronizan con los catálogos posteriormente.</w:t>
      </w:r>
    </w:p>
    <w:p>
      <w:r>
        <w:pict>
          <v:rect style="width:0;height:1.5pt" o:hralign="center" o:hrstd="t" o:hr="t"/>
        </w:pict>
      </w:r>
    </w:p>
    <w:bookmarkEnd w:id="31"/>
    <w:bookmarkStart w:id="32" w:name="confirmación"/>
    <w:p>
      <w:pPr>
        <w:pStyle w:val="Heading2"/>
      </w:pPr>
      <w:r>
        <w:t xml:space="preserve">Confirmación</w:t>
      </w:r>
    </w:p>
    <w:p>
      <w:pPr>
        <w:pStyle w:val="Compact"/>
        <w:numPr>
          <w:ilvl w:val="0"/>
          <w:numId w:val="1010"/>
        </w:numPr>
      </w:pPr>
      <w:r>
        <w:t xml:space="preserve">confirmedAt</w:t>
      </w:r>
    </w:p>
    <w:p>
      <w:pPr>
        <w:pStyle w:val="Compact"/>
        <w:numPr>
          <w:ilvl w:val="0"/>
          <w:numId w:val="1010"/>
        </w:numPr>
      </w:pPr>
      <w:r>
        <w:t xml:space="preserve">confirmedBy</w:t>
      </w:r>
    </w:p>
    <w:p>
      <w:r>
        <w:pict>
          <v:rect style="width:0;height:1.5pt" o:hralign="center" o:hrstd="t" o:hr="t"/>
        </w:pict>
      </w:r>
    </w:p>
    <w:bookmarkEnd w:id="32"/>
    <w:bookmarkStart w:id="33" w:name="cancelación"/>
    <w:p>
      <w:pPr>
        <w:pStyle w:val="Heading2"/>
      </w:pPr>
      <w:r>
        <w:t xml:space="preserve">Cancelación</w:t>
      </w:r>
    </w:p>
    <w:p>
      <w:pPr>
        <w:pStyle w:val="Compact"/>
        <w:numPr>
          <w:ilvl w:val="0"/>
          <w:numId w:val="1011"/>
        </w:numPr>
      </w:pPr>
      <w:r>
        <w:t xml:space="preserve">cancelledAt</w:t>
      </w:r>
    </w:p>
    <w:p>
      <w:pPr>
        <w:pStyle w:val="Compact"/>
        <w:numPr>
          <w:ilvl w:val="0"/>
          <w:numId w:val="1011"/>
        </w:numPr>
      </w:pPr>
      <w:r>
        <w:t xml:space="preserve">cancelledBy</w:t>
      </w:r>
    </w:p>
    <w:p>
      <w:pPr>
        <w:pStyle w:val="Compact"/>
        <w:numPr>
          <w:ilvl w:val="0"/>
          <w:numId w:val="1011"/>
        </w:numPr>
      </w:pPr>
      <w:r>
        <w:t xml:space="preserve">cancellationReason</w:t>
      </w:r>
    </w:p>
    <w:p>
      <w:r>
        <w:pict>
          <v:rect style="width:0;height:1.5pt" o:hralign="center" o:hrstd="t" o:hr="t"/>
        </w:pict>
      </w:r>
    </w:p>
    <w:bookmarkEnd w:id="33"/>
    <w:bookmarkStart w:id="34" w:name="reprogramación"/>
    <w:p>
      <w:pPr>
        <w:pStyle w:val="Heading2"/>
      </w:pPr>
      <w:r>
        <w:t xml:space="preserve">Reprogramación</w:t>
      </w:r>
    </w:p>
    <w:p>
      <w:pPr>
        <w:pStyle w:val="Compact"/>
        <w:numPr>
          <w:ilvl w:val="0"/>
          <w:numId w:val="1012"/>
        </w:numPr>
      </w:pPr>
      <w:r>
        <w:t xml:space="preserve">rescheduledFrom</w:t>
      </w:r>
    </w:p>
    <w:p>
      <w:pPr>
        <w:pStyle w:val="Compact"/>
        <w:numPr>
          <w:ilvl w:val="0"/>
          <w:numId w:val="1012"/>
        </w:numPr>
      </w:pPr>
      <w:r>
        <w:t xml:space="preserve">rescheduledAt</w:t>
      </w:r>
    </w:p>
    <w:p>
      <w:pPr>
        <w:pStyle w:val="Compact"/>
        <w:numPr>
          <w:ilvl w:val="0"/>
          <w:numId w:val="1012"/>
        </w:numPr>
      </w:pPr>
      <w:r>
        <w:t xml:space="preserve">rescheduledBy</w:t>
      </w:r>
    </w:p>
    <w:p>
      <w:pPr>
        <w:pStyle w:val="Compact"/>
        <w:numPr>
          <w:ilvl w:val="0"/>
          <w:numId w:val="1012"/>
        </w:numPr>
      </w:pPr>
      <w:r>
        <w:t xml:space="preserve">rescheduleReason</w:t>
      </w:r>
    </w:p>
    <w:p>
      <w:r>
        <w:pict>
          <v:rect style="width:0;height:1.5pt" o:hralign="center" o:hrstd="t" o:hr="t"/>
        </w:pict>
      </w:r>
    </w:p>
    <w:bookmarkEnd w:id="34"/>
    <w:bookmarkStart w:id="35" w:name="auditoría"/>
    <w:p>
      <w:pPr>
        <w:pStyle w:val="Heading2"/>
      </w:pPr>
      <w:r>
        <w:t xml:space="preserve">Auditoría</w:t>
      </w:r>
    </w:p>
    <w:p>
      <w:pPr>
        <w:pStyle w:val="Compact"/>
        <w:numPr>
          <w:ilvl w:val="0"/>
          <w:numId w:val="1013"/>
        </w:numPr>
      </w:pPr>
      <w:r>
        <w:t xml:space="preserve">createdAt</w:t>
      </w:r>
    </w:p>
    <w:p>
      <w:pPr>
        <w:pStyle w:val="Compact"/>
        <w:numPr>
          <w:ilvl w:val="0"/>
          <w:numId w:val="1013"/>
        </w:numPr>
      </w:pPr>
      <w:r>
        <w:t xml:space="preserve">createdBy</w:t>
      </w:r>
    </w:p>
    <w:p>
      <w:pPr>
        <w:pStyle w:val="Compact"/>
        <w:numPr>
          <w:ilvl w:val="0"/>
          <w:numId w:val="1013"/>
        </w:numPr>
      </w:pPr>
      <w:r>
        <w:t xml:space="preserve">updatedAt</w:t>
      </w:r>
    </w:p>
    <w:p>
      <w:pPr>
        <w:pStyle w:val="Compact"/>
        <w:numPr>
          <w:ilvl w:val="0"/>
          <w:numId w:val="1013"/>
        </w:numPr>
      </w:pPr>
      <w:r>
        <w:t xml:space="preserve">updatedBy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bcolecciones"/>
    <w:p>
      <w:pPr>
        <w:pStyle w:val="Heading1"/>
      </w:pPr>
      <w:r>
        <w:t xml:space="preserve">Subcolecciones</w:t>
      </w:r>
    </w:p>
    <w:p>
      <w:pPr>
        <w:pStyle w:val="SourceCode"/>
      </w:pP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└── appointmentId</w:t>
      </w:r>
      <w:r>
        <w:br/>
      </w:r>
      <w:r>
        <w:rPr>
          <w:rStyle w:val="VerbatimChar"/>
        </w:rPr>
        <w:t xml:space="preserve">    ├── notes</w:t>
      </w:r>
      <w:r>
        <w:br/>
      </w:r>
      <w:r>
        <w:rPr>
          <w:rStyle w:val="VerbatimChar"/>
        </w:rPr>
        <w:t xml:space="preserve">    ├── attachments</w:t>
      </w:r>
      <w:r>
        <w:br/>
      </w:r>
      <w:r>
        <w:rPr>
          <w:rStyle w:val="VerbatimChar"/>
        </w:rPr>
        <w:t xml:space="preserve">    ├── timeline</w:t>
      </w:r>
      <w:r>
        <w:br/>
      </w:r>
      <w:r>
        <w:rPr>
          <w:rStyle w:val="VerbatimChar"/>
        </w:rPr>
        <w:t xml:space="preserve">    └── audit</w:t>
      </w:r>
    </w:p>
    <w:p>
      <w:pPr>
        <w:pStyle w:val="FirstParagraph"/>
      </w:pPr>
      <w:r>
        <w:t xml:space="preserve">Cada subcolección tendrá un diseño independiente.</w:t>
      </w:r>
    </w:p>
    <w:p>
      <w:r>
        <w:pict>
          <v:rect style="width:0;height:1.5pt" o:hralign="center" o:hrstd="t" o:hr="t"/>
        </w:pict>
      </w:r>
    </w:p>
    <w:bookmarkEnd w:id="37"/>
    <w:bookmarkStart w:id="38" w:name="timeline"/>
    <w:p>
      <w:pPr>
        <w:pStyle w:val="Heading1"/>
      </w:pPr>
      <w:r>
        <w:t xml:space="preserve">Timeline</w:t>
      </w:r>
    </w:p>
    <w:p>
      <w:pPr>
        <w:pStyle w:val="FirstParagraph"/>
      </w:pPr>
      <w:r>
        <w:t xml:space="preserve">Permitirá reconstruir la historia completa de la cita.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4"/>
        </w:numPr>
      </w:pPr>
      <w:r>
        <w:t xml:space="preserve">Creación.</w:t>
      </w:r>
    </w:p>
    <w:p>
      <w:pPr>
        <w:pStyle w:val="Compact"/>
        <w:numPr>
          <w:ilvl w:val="0"/>
          <w:numId w:val="1014"/>
        </w:numPr>
      </w:pPr>
      <w:r>
        <w:t xml:space="preserve">Confirmación.</w:t>
      </w:r>
    </w:p>
    <w:p>
      <w:pPr>
        <w:pStyle w:val="Compact"/>
        <w:numPr>
          <w:ilvl w:val="0"/>
          <w:numId w:val="1014"/>
        </w:numPr>
      </w:pPr>
      <w:r>
        <w:t xml:space="preserve">Reprogramación.</w:t>
      </w:r>
    </w:p>
    <w:p>
      <w:pPr>
        <w:pStyle w:val="Compact"/>
        <w:numPr>
          <w:ilvl w:val="0"/>
          <w:numId w:val="1014"/>
        </w:numPr>
      </w:pPr>
      <w:r>
        <w:t xml:space="preserve">Cancelación.</w:t>
      </w:r>
    </w:p>
    <w:p>
      <w:pPr>
        <w:pStyle w:val="Compact"/>
        <w:numPr>
          <w:ilvl w:val="0"/>
          <w:numId w:val="1014"/>
        </w:numPr>
      </w:pPr>
      <w:r>
        <w:t xml:space="preserve">Inicio.</w:t>
      </w:r>
    </w:p>
    <w:p>
      <w:pPr>
        <w:pStyle w:val="Compact"/>
        <w:numPr>
          <w:ilvl w:val="0"/>
          <w:numId w:val="1014"/>
        </w:numPr>
      </w:pPr>
      <w:r>
        <w:t xml:space="preserve">Finalización.</w:t>
      </w:r>
    </w:p>
    <w:p>
      <w:r>
        <w:pict>
          <v:rect style="width:0;height:1.5pt" o:hralign="center" o:hrstd="t" o:hr="t"/>
        </w:pict>
      </w:r>
    </w:p>
    <w:bookmarkEnd w:id="38"/>
    <w:bookmarkStart w:id="42" w:name="índices-recomendados"/>
    <w:p>
      <w:pPr>
        <w:pStyle w:val="Heading1"/>
      </w:pPr>
      <w:r>
        <w:t xml:space="preserve">Índices Recomendados</w:t>
      </w:r>
    </w:p>
    <w:bookmarkStart w:id="39" w:name="agenda-1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15"/>
        </w:numPr>
      </w:pPr>
      <w:r>
        <w:t xml:space="preserve">specialistId + appointmentDate + startTime</w:t>
      </w:r>
    </w:p>
    <w:p>
      <w:pPr>
        <w:pStyle w:val="Compact"/>
        <w:numPr>
          <w:ilvl w:val="0"/>
          <w:numId w:val="1015"/>
        </w:numPr>
      </w:pPr>
      <w:r>
        <w:t xml:space="preserve">appointmentDate + status</w:t>
      </w:r>
    </w:p>
    <w:p>
      <w:r>
        <w:pict>
          <v:rect style="width:0;height:1.5pt" o:hralign="center" o:hrstd="t" o:hr="t"/>
        </w:pict>
      </w:r>
    </w:p>
    <w:bookmarkEnd w:id="39"/>
    <w:bookmarkStart w:id="40" w:name="cliente"/>
    <w:p>
      <w:pPr>
        <w:pStyle w:val="Heading2"/>
      </w:pPr>
      <w:r>
        <w:t xml:space="preserve">Cliente</w:t>
      </w:r>
    </w:p>
    <w:p>
      <w:pPr>
        <w:pStyle w:val="Compact"/>
        <w:numPr>
          <w:ilvl w:val="0"/>
          <w:numId w:val="1016"/>
        </w:numPr>
      </w:pPr>
      <w:r>
        <w:t xml:space="preserve">customerId + appointmentDate</w:t>
      </w:r>
    </w:p>
    <w:p>
      <w:r>
        <w:pict>
          <v:rect style="width:0;height:1.5pt" o:hralign="center" o:hrstd="t" o:hr="t"/>
        </w:pict>
      </w:r>
    </w:p>
    <w:bookmarkEnd w:id="40"/>
    <w:bookmarkStart w:id="41" w:name="operación"/>
    <w:p>
      <w:pPr>
        <w:pStyle w:val="Heading2"/>
      </w:pPr>
      <w:r>
        <w:t xml:space="preserve">Operación</w:t>
      </w:r>
    </w:p>
    <w:p>
      <w:pPr>
        <w:pStyle w:val="Compact"/>
        <w:numPr>
          <w:ilvl w:val="0"/>
          <w:numId w:val="1017"/>
        </w:numPr>
      </w:pPr>
      <w:r>
        <w:t xml:space="preserve">status + appointmentDate</w:t>
      </w:r>
    </w:p>
    <w:p>
      <w:pPr>
        <w:pStyle w:val="Compact"/>
        <w:numPr>
          <w:ilvl w:val="0"/>
          <w:numId w:val="1017"/>
        </w:numPr>
      </w:pPr>
      <w:r>
        <w:t xml:space="preserve">createdAt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evención-de-conflictos"/>
    <w:p>
      <w:pPr>
        <w:pStyle w:val="Heading1"/>
      </w:pPr>
      <w:r>
        <w:t xml:space="preserve">Prevención de Conflictos</w:t>
      </w:r>
    </w:p>
    <w:p>
      <w:pPr>
        <w:pStyle w:val="FirstParagraph"/>
      </w:pPr>
      <w:r>
        <w:t xml:space="preserve">Las reservas deberán validarse en backend comprobando:</w:t>
      </w:r>
    </w:p>
    <w:p>
      <w:pPr>
        <w:pStyle w:val="Compact"/>
        <w:numPr>
          <w:ilvl w:val="0"/>
          <w:numId w:val="1018"/>
        </w:numPr>
      </w:pPr>
      <w:r>
        <w:t xml:space="preserve">Solapamiento de horarios del especialista.</w:t>
      </w:r>
    </w:p>
    <w:p>
      <w:pPr>
        <w:pStyle w:val="Compact"/>
        <w:numPr>
          <w:ilvl w:val="0"/>
          <w:numId w:val="1018"/>
        </w:numPr>
      </w:pPr>
      <w:r>
        <w:t xml:space="preserve">Disponibilidad del recurso.</w:t>
      </w:r>
    </w:p>
    <w:p>
      <w:pPr>
        <w:pStyle w:val="Compact"/>
        <w:numPr>
          <w:ilvl w:val="0"/>
          <w:numId w:val="1018"/>
        </w:numPr>
      </w:pPr>
      <w:r>
        <w:t xml:space="preserve">Estado de la cita.</w:t>
      </w:r>
    </w:p>
    <w:p>
      <w:pPr>
        <w:pStyle w:val="Compact"/>
        <w:numPr>
          <w:ilvl w:val="0"/>
          <w:numId w:val="1018"/>
        </w:numPr>
      </w:pPr>
      <w:r>
        <w:t xml:space="preserve">Duración.</w:t>
      </w:r>
    </w:p>
    <w:p>
      <w:pPr>
        <w:pStyle w:val="FirstParagraph"/>
      </w:pPr>
      <w:r>
        <w:t xml:space="preserve">Estas validaciones no dependerán únicamente de Firestore.</w:t>
      </w:r>
    </w:p>
    <w:p>
      <w:r>
        <w:pict>
          <v:rect style="width:0;height:1.5pt" o:hralign="center" o:hrstd="t" o:hr="t"/>
        </w:pict>
      </w:r>
    </w:p>
    <w:bookmarkEnd w:id="43"/>
    <w:bookmarkStart w:id="44" w:name="estrategia-de-eliminación"/>
    <w:p>
      <w:pPr>
        <w:pStyle w:val="Heading1"/>
      </w:pPr>
      <w:r>
        <w:t xml:space="preserve">Estrategia de Eliminación</w:t>
      </w:r>
    </w:p>
    <w:p>
      <w:pPr>
        <w:pStyle w:val="FirstParagraph"/>
      </w:pPr>
      <w:r>
        <w:t xml:space="preserve">Las citas no se eliminarán físicamente.</w:t>
      </w:r>
    </w:p>
    <w:p>
      <w:pPr>
        <w:pStyle w:val="BodyText"/>
      </w:pPr>
      <w:r>
        <w:t xml:space="preserve">Se conservarán para:</w:t>
      </w:r>
    </w:p>
    <w:p>
      <w:pPr>
        <w:pStyle w:val="Compact"/>
        <w:numPr>
          <w:ilvl w:val="0"/>
          <w:numId w:val="1019"/>
        </w:numPr>
      </w:pPr>
      <w:r>
        <w:t xml:space="preserve">Historial.</w:t>
      </w:r>
    </w:p>
    <w:p>
      <w:pPr>
        <w:pStyle w:val="Compact"/>
        <w:numPr>
          <w:ilvl w:val="0"/>
          <w:numId w:val="1019"/>
        </w:numPr>
      </w:pPr>
      <w:r>
        <w:t xml:space="preserve">Auditoría.</w:t>
      </w:r>
    </w:p>
    <w:p>
      <w:pPr>
        <w:pStyle w:val="Compact"/>
        <w:numPr>
          <w:ilvl w:val="0"/>
          <w:numId w:val="1019"/>
        </w:numPr>
      </w:pPr>
      <w:r>
        <w:t xml:space="preserve">Analítica.</w:t>
      </w:r>
    </w:p>
    <w:p>
      <w:pPr>
        <w:pStyle w:val="Compact"/>
        <w:numPr>
          <w:ilvl w:val="0"/>
          <w:numId w:val="1019"/>
        </w:numPr>
      </w:pPr>
      <w:r>
        <w:t xml:space="preserve">IA.</w:t>
      </w:r>
    </w:p>
    <w:p>
      <w:pPr>
        <w:pStyle w:val="FirstParagraph"/>
      </w:pPr>
      <w:r>
        <w:t xml:space="preserve">Las anulaciones se reflejarán mediante el estado correspondiente.</w:t>
      </w:r>
    </w:p>
    <w:p>
      <w:r>
        <w:pict>
          <v:rect style="width:0;height:1.5pt" o:hralign="center" o:hrstd="t" o:hr="t"/>
        </w:pict>
      </w:r>
    </w:p>
    <w:bookmarkEnd w:id="44"/>
    <w:bookmarkStart w:id="45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El modelo permitirá incorporar sin rediseño:</w:t>
      </w:r>
    </w:p>
    <w:p>
      <w:pPr>
        <w:pStyle w:val="Compact"/>
        <w:numPr>
          <w:ilvl w:val="0"/>
          <w:numId w:val="1020"/>
        </w:numPr>
      </w:pPr>
      <w:r>
        <w:t xml:space="preserve">Varias sedes.</w:t>
      </w:r>
    </w:p>
    <w:p>
      <w:pPr>
        <w:pStyle w:val="Compact"/>
        <w:numPr>
          <w:ilvl w:val="0"/>
          <w:numId w:val="1020"/>
        </w:numPr>
      </w:pPr>
      <w:r>
        <w:t xml:space="preserve">Salas o cabinas.</w:t>
      </w:r>
    </w:p>
    <w:p>
      <w:pPr>
        <w:pStyle w:val="Compact"/>
        <w:numPr>
          <w:ilvl w:val="0"/>
          <w:numId w:val="1020"/>
        </w:numPr>
      </w:pPr>
      <w:r>
        <w:t xml:space="preserve">Equipamiento compartido.</w:t>
      </w:r>
    </w:p>
    <w:p>
      <w:pPr>
        <w:pStyle w:val="Compact"/>
        <w:numPr>
          <w:ilvl w:val="0"/>
          <w:numId w:val="1020"/>
        </w:numPr>
      </w:pPr>
      <w:r>
        <w:t xml:space="preserve">Teleconsulta.</w:t>
      </w:r>
    </w:p>
    <w:p>
      <w:pPr>
        <w:pStyle w:val="Compact"/>
        <w:numPr>
          <w:ilvl w:val="0"/>
          <w:numId w:val="1020"/>
        </w:numPr>
      </w:pPr>
      <w:r>
        <w:t xml:space="preserve">Tratamientos múltiples.</w:t>
      </w:r>
    </w:p>
    <w:p>
      <w:pPr>
        <w:pStyle w:val="Compact"/>
        <w:numPr>
          <w:ilvl w:val="0"/>
          <w:numId w:val="1020"/>
        </w:numPr>
      </w:pPr>
      <w:r>
        <w:t xml:space="preserve">Equipos de especialistas.</w:t>
      </w:r>
    </w:p>
    <w:p>
      <w:r>
        <w:pict>
          <v:rect style="width:0;height:1.5pt" o:hralign="center" o:hrstd="t" o:hr="t"/>
        </w:pict>
      </w:r>
    </w:p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1"/>
        </w:numPr>
      </w:pPr>
      <w:r>
        <w:t xml:space="preserve">Solapamiento de horarios.</w:t>
      </w:r>
    </w:p>
    <w:p>
      <w:pPr>
        <w:pStyle w:val="Compact"/>
        <w:numPr>
          <w:ilvl w:val="0"/>
          <w:numId w:val="1021"/>
        </w:numPr>
      </w:pPr>
      <w:r>
        <w:t xml:space="preserve">Índices insuficientes.</w:t>
      </w:r>
    </w:p>
    <w:p>
      <w:pPr>
        <w:pStyle w:val="Compact"/>
        <w:numPr>
          <w:ilvl w:val="0"/>
          <w:numId w:val="1021"/>
        </w:numPr>
      </w:pPr>
      <w:r>
        <w:t xml:space="preserve">Documentos excesivamente grandes.</w:t>
      </w:r>
    </w:p>
    <w:p>
      <w:pPr>
        <w:pStyle w:val="Compact"/>
        <w:numPr>
          <w:ilvl w:val="0"/>
          <w:numId w:val="1021"/>
        </w:numPr>
      </w:pPr>
      <w:r>
        <w:t xml:space="preserve">Dependencias circulares con otros dominios.</w:t>
      </w:r>
    </w:p>
    <w:p>
      <w:pPr>
        <w:pStyle w:val="FirstParagraph"/>
      </w:pPr>
      <w:r>
        <w:t xml:space="preserve">Todos los cambios estructurales requerirán un ADR.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2"/>
        </w:numPr>
      </w:pPr>
      <w:r>
        <w:t xml:space="preserve">Modelo definido.</w:t>
      </w:r>
    </w:p>
    <w:p>
      <w:pPr>
        <w:pStyle w:val="Compact"/>
        <w:numPr>
          <w:ilvl w:val="0"/>
          <w:numId w:val="1022"/>
        </w:numPr>
      </w:pPr>
      <w:r>
        <w:t xml:space="preserve">Relaciones documentadas.</w:t>
      </w:r>
    </w:p>
    <w:p>
      <w:pPr>
        <w:pStyle w:val="Compact"/>
        <w:numPr>
          <w:ilvl w:val="0"/>
          <w:numId w:val="1022"/>
        </w:numPr>
      </w:pPr>
      <w:r>
        <w:t xml:space="preserve">Estados definidos.</w:t>
      </w:r>
    </w:p>
    <w:p>
      <w:pPr>
        <w:pStyle w:val="Compact"/>
        <w:numPr>
          <w:ilvl w:val="0"/>
          <w:numId w:val="1022"/>
        </w:numPr>
      </w:pPr>
      <w:r>
        <w:t xml:space="preserve">Instantánea histórica incluida.</w:t>
      </w:r>
    </w:p>
    <w:p>
      <w:pPr>
        <w:pStyle w:val="Compact"/>
        <w:numPr>
          <w:ilvl w:val="0"/>
          <w:numId w:val="1022"/>
        </w:numPr>
      </w:pPr>
      <w:r>
        <w:t xml:space="preserve">Índices preliminares definidos.</w:t>
      </w:r>
    </w:p>
    <w:p>
      <w:pPr>
        <w:pStyle w:val="Compact"/>
        <w:numPr>
          <w:ilvl w:val="0"/>
          <w:numId w:val="1022"/>
        </w:numPr>
      </w:pPr>
      <w:r>
        <w:t xml:space="preserve">Estrategia de auditoría aprobada.</w:t>
      </w:r>
    </w:p>
    <w:p>
      <w:pPr>
        <w:pStyle w:val="Compact"/>
        <w:numPr>
          <w:ilvl w:val="0"/>
          <w:numId w:val="1022"/>
        </w:numPr>
      </w:pPr>
      <w:r>
        <w:t xml:space="preserve">Estrategia de crecimiento validada.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-1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3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23"/>
        </w:numPr>
      </w:pPr>
      <w:r>
        <w:t xml:space="preserve">CUSTOMER002_CUSTOMER_DATA_MODEL.md</w:t>
      </w:r>
    </w:p>
    <w:p>
      <w:pPr>
        <w:pStyle w:val="Compact"/>
        <w:numPr>
          <w:ilvl w:val="0"/>
          <w:numId w:val="1023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23"/>
        </w:numPr>
      </w:pPr>
      <w:r>
        <w:t xml:space="preserve">FB002_FIRESTORE_REPOSITORY_PATTERN.md</w:t>
      </w:r>
    </w:p>
    <w:p>
      <w:pPr>
        <w:pStyle w:val="Compact"/>
        <w:numPr>
          <w:ilvl w:val="0"/>
          <w:numId w:val="1023"/>
        </w:numPr>
      </w:pPr>
      <w:r>
        <w:t xml:space="preserve">SEC001_SECURITY_ARCHITECTURE.md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modelo oficial de datos del dominio Appointments.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2026-06-30T17:07:13Z</dcterms:created>
  <dcterms:modified xsi:type="dcterms:W3CDTF">2026-06-30T17:07:13Z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