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1-appointment-domain-architecture"/>
    <w:p>
      <w:pPr>
        <w:pStyle w:val="Heading1"/>
      </w:pPr>
      <w:r>
        <w:t xml:space="preserve">APP001 — APPOINTMENT DOMAIN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.</w:t>
      </w:r>
    </w:p>
    <w:p>
      <w:pPr>
        <w:pStyle w:val="BodyText"/>
      </w:pPr>
      <w:r>
        <w:t xml:space="preserve">Este dominio gestionará el ciclo de vida completo de las citas, desde su creación hasta su cierre, incluyendo reprogramaciones, cancelaciones y seguimiento.</w:t>
      </w:r>
    </w:p>
    <w:p>
      <w:pPr>
        <w:pStyle w:val="BodyText"/>
      </w:pPr>
      <w:r>
        <w:t xml:space="preserve">Será el núcleo operativo de la plataforma.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Agenda.</w:t>
      </w:r>
    </w:p>
    <w:p>
      <w:pPr>
        <w:pStyle w:val="Compact"/>
        <w:numPr>
          <w:ilvl w:val="0"/>
          <w:numId w:val="1001"/>
        </w:numPr>
      </w:pPr>
      <w:r>
        <w:t xml:space="preserve">Reservas.</w:t>
      </w:r>
    </w:p>
    <w:p>
      <w:pPr>
        <w:pStyle w:val="Compact"/>
        <w:numPr>
          <w:ilvl w:val="0"/>
          <w:numId w:val="1001"/>
        </w:numPr>
      </w:pPr>
      <w:r>
        <w:t xml:space="preserve">Disponibilidad.</w:t>
      </w:r>
    </w:p>
    <w:p>
      <w:pPr>
        <w:pStyle w:val="Compact"/>
        <w:numPr>
          <w:ilvl w:val="0"/>
          <w:numId w:val="1001"/>
        </w:numPr>
      </w:pPr>
      <w:r>
        <w:t xml:space="preserve">Reprogramaciones.</w:t>
      </w:r>
    </w:p>
    <w:p>
      <w:pPr>
        <w:pStyle w:val="Compact"/>
        <w:numPr>
          <w:ilvl w:val="0"/>
          <w:numId w:val="1001"/>
        </w:numPr>
      </w:pPr>
      <w:r>
        <w:t xml:space="preserve">Cancelaciones.</w:t>
      </w:r>
    </w:p>
    <w:p>
      <w:pPr>
        <w:pStyle w:val="Compact"/>
        <w:numPr>
          <w:ilvl w:val="0"/>
          <w:numId w:val="1001"/>
        </w:numPr>
      </w:pPr>
      <w:r>
        <w:t xml:space="preserve">Confirmaciones.</w:t>
      </w:r>
    </w:p>
    <w:p>
      <w:pPr>
        <w:pStyle w:val="Compact"/>
        <w:numPr>
          <w:ilvl w:val="0"/>
          <w:numId w:val="1001"/>
        </w:numPr>
      </w:pPr>
      <w:r>
        <w:t xml:space="preserve">Recordatorios.</w:t>
      </w:r>
    </w:p>
    <w:p>
      <w:pPr>
        <w:pStyle w:val="Compact"/>
        <w:numPr>
          <w:ilvl w:val="0"/>
          <w:numId w:val="1001"/>
        </w:numPr>
      </w:pPr>
      <w:r>
        <w:t xml:space="preserve">Estados de la cita.</w:t>
      </w:r>
    </w:p>
    <w:p>
      <w:pPr>
        <w:pStyle w:val="Compact"/>
        <w:numPr>
          <w:ilvl w:val="0"/>
          <w:numId w:val="1001"/>
        </w:numPr>
      </w:pPr>
      <w:r>
        <w:t xml:space="preserve">Relación con especialistas.</w:t>
      </w:r>
    </w:p>
    <w:p>
      <w:pPr>
        <w:pStyle w:val="Compact"/>
        <w:numPr>
          <w:ilvl w:val="0"/>
          <w:numId w:val="1001"/>
        </w:numPr>
      </w:pPr>
      <w:r>
        <w:t xml:space="preserve">Relación con tratamientos.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pPr>
        <w:pStyle w:val="Compact"/>
        <w:numPr>
          <w:ilvl w:val="0"/>
          <w:numId w:val="1002"/>
        </w:numPr>
      </w:pPr>
      <w:r>
        <w:t xml:space="preserve">Facturación.</w:t>
      </w:r>
    </w:p>
    <w:p>
      <w:pPr>
        <w:pStyle w:val="Compact"/>
        <w:numPr>
          <w:ilvl w:val="0"/>
          <w:numId w:val="1002"/>
        </w:numPr>
      </w:pPr>
      <w:r>
        <w:t xml:space="preserve">Marketing.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El dominio deberá:</w:t>
      </w:r>
    </w:p>
    <w:p>
      <w:pPr>
        <w:pStyle w:val="Compact"/>
        <w:numPr>
          <w:ilvl w:val="0"/>
          <w:numId w:val="1003"/>
        </w:numPr>
      </w:pPr>
      <w:r>
        <w:t xml:space="preserve">Gestionar el ciclo de vida completo de una cita.</w:t>
      </w:r>
    </w:p>
    <w:p>
      <w:pPr>
        <w:pStyle w:val="Compact"/>
        <w:numPr>
          <w:ilvl w:val="0"/>
          <w:numId w:val="1003"/>
        </w:numPr>
      </w:pPr>
      <w:r>
        <w:t xml:space="preserve">Evitar conflictos de agenda.</w:t>
      </w:r>
    </w:p>
    <w:p>
      <w:pPr>
        <w:pStyle w:val="Compact"/>
        <w:numPr>
          <w:ilvl w:val="0"/>
          <w:numId w:val="1003"/>
        </w:numPr>
      </w:pPr>
      <w:r>
        <w:t xml:space="preserve">Mantener trazabilidad.</w:t>
      </w:r>
    </w:p>
    <w:p>
      <w:pPr>
        <w:pStyle w:val="Compact"/>
        <w:numPr>
          <w:ilvl w:val="0"/>
          <w:numId w:val="1003"/>
        </w:numPr>
      </w:pPr>
      <w:r>
        <w:t xml:space="preserve">Permitir futuras ampliaciones (teleconsulta, múltiples sedes, recursos).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cita deberá ser:</w:t>
      </w:r>
    </w:p>
    <w:p>
      <w:pPr>
        <w:pStyle w:val="Compact"/>
        <w:numPr>
          <w:ilvl w:val="0"/>
          <w:numId w:val="1004"/>
        </w:numPr>
      </w:pPr>
      <w:r>
        <w:t xml:space="preserve">Una entidad independiente.</w:t>
      </w:r>
    </w:p>
    <w:p>
      <w:pPr>
        <w:pStyle w:val="Compact"/>
        <w:numPr>
          <w:ilvl w:val="0"/>
          <w:numId w:val="1004"/>
        </w:numPr>
      </w:pPr>
      <w:r>
        <w:t xml:space="preserve">Auditada.</w:t>
      </w:r>
    </w:p>
    <w:p>
      <w:pPr>
        <w:pStyle w:val="Compact"/>
        <w:numPr>
          <w:ilvl w:val="0"/>
          <w:numId w:val="1004"/>
        </w:numPr>
      </w:pPr>
      <w:r>
        <w:t xml:space="preserve">Versionable.</w:t>
      </w:r>
    </w:p>
    <w:p>
      <w:pPr>
        <w:pStyle w:val="Compact"/>
        <w:numPr>
          <w:ilvl w:val="0"/>
          <w:numId w:val="1004"/>
        </w:numPr>
      </w:pPr>
      <w:r>
        <w:t xml:space="preserve">Multi-tenant.</w:t>
      </w:r>
    </w:p>
    <w:p>
      <w:pPr>
        <w:pStyle w:val="Compact"/>
        <w:numPr>
          <w:ilvl w:val="0"/>
          <w:numId w:val="1004"/>
        </w:numPr>
      </w:pPr>
      <w:r>
        <w:t xml:space="preserve">Consistente.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</w:t>
      </w:r>
      <w:r>
        <w:br/>
      </w:r>
      <w:r>
        <w:rPr>
          <w:rStyle w:val="VerbatimChar"/>
        </w:rPr>
        <w:t xml:space="preserve">├── Specialist</w:t>
      </w:r>
      <w:r>
        <w:br/>
      </w:r>
      <w:r>
        <w:rPr>
          <w:rStyle w:val="VerbatimChar"/>
        </w:rPr>
        <w:t xml:space="preserve">├── Treatment</w:t>
      </w:r>
      <w:r>
        <w:br/>
      </w:r>
      <w:r>
        <w:rPr>
          <w:rStyle w:val="VerbatimChar"/>
        </w:rPr>
        <w:t xml:space="preserve">├── Schedule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├── Confirmation</w:t>
      </w:r>
      <w:r>
        <w:br/>
      </w:r>
      <w:r>
        <w:rPr>
          <w:rStyle w:val="VerbatimChar"/>
        </w:rPr>
        <w:t xml:space="preserve">├── Reminder</w:t>
      </w:r>
      <w:r>
        <w:br/>
      </w:r>
      <w:r>
        <w:rPr>
          <w:rStyle w:val="VerbatimChar"/>
        </w:rPr>
        <w:t xml:space="preserve">├── Notes</w:t>
      </w:r>
      <w:r>
        <w:br/>
      </w:r>
      <w:r>
        <w:rPr>
          <w:rStyle w:val="VerbatimChar"/>
        </w:rPr>
        <w:t xml:space="preserve">└── Audit</w:t>
      </w:r>
    </w:p>
    <w:p>
      <w:pPr>
        <w:pStyle w:val="FirstParagraph"/>
      </w:pPr>
      <w:r>
        <w:t xml:space="preserve">Cada componente representa un aspecto del proceso de negocio.</w:t>
      </w:r>
    </w:p>
    <w:p>
      <w:r>
        <w:pict>
          <v:rect style="width:0;height:1.5pt" o:hralign="center" o:hrstd="t" o:hr="t"/>
        </w:pict>
      </w:r>
    </w:p>
    <w:bookmarkEnd w:id="26"/>
    <w:bookmarkStart w:id="28" w:name="entidad-principal"/>
    <w:p>
      <w:pPr>
        <w:pStyle w:val="Heading1"/>
      </w:pPr>
      <w:r>
        <w:t xml:space="preserve">Entidad Principal</w:t>
      </w:r>
    </w:p>
    <w:bookmarkStart w:id="27" w:name="appointment"/>
    <w:p>
      <w:pPr>
        <w:pStyle w:val="Heading2"/>
      </w:pPr>
      <w:r>
        <w:t xml:space="preserve">Appointment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Identificador único.</w:t>
      </w:r>
    </w:p>
    <w:p>
      <w:pPr>
        <w:pStyle w:val="Compact"/>
        <w:numPr>
          <w:ilvl w:val="0"/>
          <w:numId w:val="1005"/>
        </w:numPr>
      </w:pPr>
      <w:r>
        <w:t xml:space="preserve">Organización.</w:t>
      </w:r>
    </w:p>
    <w:p>
      <w:pPr>
        <w:pStyle w:val="Compact"/>
        <w:numPr>
          <w:ilvl w:val="0"/>
          <w:numId w:val="1005"/>
        </w:numPr>
      </w:pPr>
      <w:r>
        <w:t xml:space="preserve">Cliente.</w:t>
      </w:r>
    </w:p>
    <w:p>
      <w:pPr>
        <w:pStyle w:val="Compact"/>
        <w:numPr>
          <w:ilvl w:val="0"/>
          <w:numId w:val="1005"/>
        </w:numPr>
      </w:pPr>
      <w:r>
        <w:t xml:space="preserve">Especialista.</w:t>
      </w:r>
    </w:p>
    <w:p>
      <w:pPr>
        <w:pStyle w:val="Compact"/>
        <w:numPr>
          <w:ilvl w:val="0"/>
          <w:numId w:val="1005"/>
        </w:numPr>
      </w:pPr>
      <w:r>
        <w:t xml:space="preserve">Tratamiento.</w:t>
      </w:r>
    </w:p>
    <w:p>
      <w:pPr>
        <w:pStyle w:val="Compact"/>
        <w:numPr>
          <w:ilvl w:val="0"/>
          <w:numId w:val="1005"/>
        </w:numPr>
      </w:pPr>
      <w:r>
        <w:t xml:space="preserve">Fecha y hora.</w:t>
      </w:r>
    </w:p>
    <w:p>
      <w:pPr>
        <w:pStyle w:val="Compact"/>
        <w:numPr>
          <w:ilvl w:val="0"/>
          <w:numId w:val="1005"/>
        </w:numPr>
      </w:pPr>
      <w:r>
        <w:t xml:space="preserve">Estado.</w:t>
      </w:r>
    </w:p>
    <w:p>
      <w:pPr>
        <w:pStyle w:val="Compact"/>
        <w:numPr>
          <w:ilvl w:val="0"/>
          <w:numId w:val="1005"/>
        </w:numPr>
      </w:pPr>
      <w:r>
        <w:t xml:space="preserve">Auditoría.</w:t>
      </w:r>
    </w:p>
    <w:p>
      <w:pPr>
        <w:pStyle w:val="FirstParagraph"/>
      </w:pPr>
      <w:r>
        <w:t xml:space="preserve">La entidad no contendrá lógica de presentación.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chedule"/>
    <w:p>
      <w:pPr>
        <w:pStyle w:val="Heading1"/>
      </w:pPr>
      <w:r>
        <w:t xml:space="preserve">Schedule</w:t>
      </w:r>
    </w:p>
    <w:p>
      <w:pPr>
        <w:pStyle w:val="FirstParagraph"/>
      </w:pPr>
      <w:r>
        <w:t xml:space="preserve">Gestiona:</w:t>
      </w:r>
    </w:p>
    <w:p>
      <w:pPr>
        <w:pStyle w:val="Compact"/>
        <w:numPr>
          <w:ilvl w:val="0"/>
          <w:numId w:val="1006"/>
        </w:numPr>
      </w:pPr>
      <w:r>
        <w:t xml:space="preserve">Fecha.</w:t>
      </w:r>
    </w:p>
    <w:p>
      <w:pPr>
        <w:pStyle w:val="Compact"/>
        <w:numPr>
          <w:ilvl w:val="0"/>
          <w:numId w:val="1006"/>
        </w:numPr>
      </w:pPr>
      <w:r>
        <w:t xml:space="preserve">Hora de inicio.</w:t>
      </w:r>
    </w:p>
    <w:p>
      <w:pPr>
        <w:pStyle w:val="Compact"/>
        <w:numPr>
          <w:ilvl w:val="0"/>
          <w:numId w:val="1006"/>
        </w:numPr>
      </w:pPr>
      <w:r>
        <w:t xml:space="preserve">Hora de fin.</w:t>
      </w:r>
    </w:p>
    <w:p>
      <w:pPr>
        <w:pStyle w:val="Compact"/>
        <w:numPr>
          <w:ilvl w:val="0"/>
          <w:numId w:val="1006"/>
        </w:numPr>
      </w:pPr>
      <w:r>
        <w:t xml:space="preserve">Duración.</w:t>
      </w:r>
    </w:p>
    <w:p>
      <w:pPr>
        <w:pStyle w:val="Compact"/>
        <w:numPr>
          <w:ilvl w:val="0"/>
          <w:numId w:val="1006"/>
        </w:numPr>
      </w:pPr>
      <w:r>
        <w:t xml:space="preserve">Zona horaria.</w:t>
      </w:r>
    </w:p>
    <w:p>
      <w:pPr>
        <w:pStyle w:val="FirstParagraph"/>
      </w:pPr>
      <w:r>
        <w:t xml:space="preserve">La duración será un dato explícito para evitar cálculos inconsistentes.</w:t>
      </w:r>
    </w:p>
    <w:p>
      <w:r>
        <w:pict>
          <v:rect style="width:0;height:1.5pt" o:hralign="center" o:hrstd="t" o:hr="t"/>
        </w:pict>
      </w:r>
    </w:p>
    <w:bookmarkEnd w:id="29"/>
    <w:bookmarkStart w:id="30" w:name="customer"/>
    <w:p>
      <w:pPr>
        <w:pStyle w:val="Heading1"/>
      </w:pPr>
      <w:r>
        <w:t xml:space="preserve">Customer</w:t>
      </w:r>
    </w:p>
    <w:p>
      <w:pPr>
        <w:pStyle w:val="FirstParagraph"/>
      </w:pPr>
      <w:r>
        <w:t xml:space="preserve">Referencia al dominio Customers.</w:t>
      </w:r>
    </w:p>
    <w:p>
      <w:pPr>
        <w:pStyle w:val="BodyText"/>
      </w:pPr>
      <w:r>
        <w:t xml:space="preserve">No duplicará información personal.</w:t>
      </w:r>
    </w:p>
    <w:p>
      <w:r>
        <w:pict>
          <v:rect style="width:0;height:1.5pt" o:hralign="center" o:hrstd="t" o:hr="t"/>
        </w:pict>
      </w:r>
    </w:p>
    <w:bookmarkEnd w:id="30"/>
    <w:bookmarkStart w:id="31" w:name="specialist"/>
    <w:p>
      <w:pPr>
        <w:pStyle w:val="Heading1"/>
      </w:pPr>
      <w:r>
        <w:t xml:space="preserve">Specialist</w:t>
      </w:r>
    </w:p>
    <w:p>
      <w:pPr>
        <w:pStyle w:val="FirstParagraph"/>
      </w:pPr>
      <w:r>
        <w:t xml:space="preserve">Referencia al especialista asignado.</w:t>
      </w:r>
    </w:p>
    <w:p>
      <w:pPr>
        <w:pStyle w:val="BodyText"/>
      </w:pPr>
      <w:r>
        <w:t xml:space="preserve">Permitirá futuras reglas de disponibilidad y carga de trabajo.</w:t>
      </w:r>
    </w:p>
    <w:p>
      <w:r>
        <w:pict>
          <v:rect style="width:0;height:1.5pt" o:hralign="center" o:hrstd="t" o:hr="t"/>
        </w:pict>
      </w:r>
    </w:p>
    <w:bookmarkEnd w:id="31"/>
    <w:bookmarkStart w:id="32" w:name="treatment"/>
    <w:p>
      <w:pPr>
        <w:pStyle w:val="Heading1"/>
      </w:pPr>
      <w:r>
        <w:t xml:space="preserve">Treatment</w:t>
      </w:r>
    </w:p>
    <w:p>
      <w:pPr>
        <w:pStyle w:val="FirstParagraph"/>
      </w:pPr>
      <w:r>
        <w:t xml:space="preserve">Referencia al tratamiento reservado.</w:t>
      </w:r>
    </w:p>
    <w:p>
      <w:pPr>
        <w:pStyle w:val="BodyText"/>
      </w:pPr>
      <w:r>
        <w:t xml:space="preserve">El precio y la duración efectiva podrán variar según reglas futuras, pero la cita conservará la información necesaria para su trazabilidad.</w:t>
      </w:r>
    </w:p>
    <w:p>
      <w:r>
        <w:pict>
          <v:rect style="width:0;height:1.5pt" o:hralign="center" o:hrstd="t" o:hr="t"/>
        </w:pict>
      </w:r>
    </w:p>
    <w:bookmarkEnd w:id="32"/>
    <w:bookmarkStart w:id="33" w:name="estados"/>
    <w:p>
      <w:pPr>
        <w:pStyle w:val="Heading1"/>
      </w:pPr>
      <w:r>
        <w:t xml:space="preserve">Estados</w:t>
      </w:r>
    </w:p>
    <w:p>
      <w:pPr>
        <w:pStyle w:val="FirstParagraph"/>
      </w:pPr>
      <w:r>
        <w:t xml:space="preserve">Estados iniciales propuestos:</w:t>
      </w:r>
    </w:p>
    <w:p>
      <w:pPr>
        <w:pStyle w:val="Compact"/>
        <w:numPr>
          <w:ilvl w:val="0"/>
          <w:numId w:val="1007"/>
        </w:numPr>
      </w:pPr>
      <w:r>
        <w:t xml:space="preserve">DRAFT</w:t>
      </w:r>
    </w:p>
    <w:p>
      <w:pPr>
        <w:pStyle w:val="Compact"/>
        <w:numPr>
          <w:ilvl w:val="0"/>
          <w:numId w:val="1007"/>
        </w:numPr>
      </w:pPr>
      <w:r>
        <w:t xml:space="preserve">PENDING_CONFIRMATION</w:t>
      </w:r>
    </w:p>
    <w:p>
      <w:pPr>
        <w:pStyle w:val="Compact"/>
        <w:numPr>
          <w:ilvl w:val="0"/>
          <w:numId w:val="1007"/>
        </w:numPr>
      </w:pPr>
      <w:r>
        <w:t xml:space="preserve">CONFIRMED</w:t>
      </w:r>
    </w:p>
    <w:p>
      <w:pPr>
        <w:pStyle w:val="Compact"/>
        <w:numPr>
          <w:ilvl w:val="0"/>
          <w:numId w:val="1007"/>
        </w:numPr>
      </w:pPr>
      <w:r>
        <w:t xml:space="preserve">CHECKED_IN</w:t>
      </w:r>
    </w:p>
    <w:p>
      <w:pPr>
        <w:pStyle w:val="Compact"/>
        <w:numPr>
          <w:ilvl w:val="0"/>
          <w:numId w:val="1007"/>
        </w:numPr>
      </w:pPr>
      <w:r>
        <w:t xml:space="preserve">IN_PROGRESS</w:t>
      </w:r>
    </w:p>
    <w:p>
      <w:pPr>
        <w:pStyle w:val="Compact"/>
        <w:numPr>
          <w:ilvl w:val="0"/>
          <w:numId w:val="1007"/>
        </w:numPr>
      </w:pPr>
      <w:r>
        <w:t xml:space="preserve">COMPLETED</w:t>
      </w:r>
    </w:p>
    <w:p>
      <w:pPr>
        <w:pStyle w:val="Compact"/>
        <w:numPr>
          <w:ilvl w:val="0"/>
          <w:numId w:val="1007"/>
        </w:numPr>
      </w:pPr>
      <w:r>
        <w:t xml:space="preserve">CANCELLED</w:t>
      </w:r>
    </w:p>
    <w:p>
      <w:pPr>
        <w:pStyle w:val="Compact"/>
        <w:numPr>
          <w:ilvl w:val="0"/>
          <w:numId w:val="1007"/>
        </w:numPr>
      </w:pPr>
      <w:r>
        <w:t xml:space="preserve">NO_SHOW</w:t>
      </w:r>
    </w:p>
    <w:p>
      <w:pPr>
        <w:pStyle w:val="FirstParagraph"/>
      </w:pPr>
      <w:r>
        <w:t xml:space="preserve">Las transiciones estarán controladas por reglas del dominio.</w:t>
      </w:r>
    </w:p>
    <w:p>
      <w:r>
        <w:pict>
          <v:rect style="width:0;height:1.5pt" o:hralign="center" o:hrstd="t" o:hr="t"/>
        </w:pict>
      </w:r>
    </w:p>
    <w:bookmarkEnd w:id="33"/>
    <w:bookmarkStart w:id="34" w:name="ciclo-de-vida"/>
    <w:p>
      <w:pPr>
        <w:pStyle w:val="Heading1"/>
      </w:pPr>
      <w:r>
        <w:t xml:space="preserve">Ciclo de Vida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PENDING_CONFIRMATION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├──────────────┐</w:t>
      </w:r>
      <w:r>
        <w:br/>
      </w:r>
      <w:r>
        <w:rPr>
          <w:rStyle w:val="VerbatimChar"/>
        </w:rPr>
        <w:t xml:space="preserve">   ▼              ▼</w:t>
      </w:r>
      <w:r>
        <w:br/>
      </w:r>
      <w:r>
        <w:rPr>
          <w:rStyle w:val="VerbatimChar"/>
        </w:rPr>
        <w:t xml:space="preserve">CHECKED_IN   CANCELLED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Las transiciones deberán validarse mediante casos de uso específicos.</w:t>
      </w:r>
    </w:p>
    <w:p>
      <w:r>
        <w:pict>
          <v:rect style="width:0;height:1.5pt" o:hralign="center" o:hrstd="t" o:hr="t"/>
        </w:pict>
      </w:r>
    </w:p>
    <w:bookmarkEnd w:id="34"/>
    <w:bookmarkStart w:id="35" w:name="reprogramación"/>
    <w:p>
      <w:pPr>
        <w:pStyle w:val="Heading1"/>
      </w:pPr>
      <w:r>
        <w:t xml:space="preserve">Reprogramación</w:t>
      </w:r>
    </w:p>
    <w:p>
      <w:pPr>
        <w:pStyle w:val="FirstParagraph"/>
      </w:pPr>
      <w:r>
        <w:t xml:space="preserve">Una reprogramación no eliminará la cita original.</w:t>
      </w:r>
    </w:p>
    <w:p>
      <w:pPr>
        <w:pStyle w:val="BodyText"/>
      </w:pPr>
      <w:r>
        <w:t xml:space="preserve">Se registrará:</w:t>
      </w:r>
    </w:p>
    <w:p>
      <w:pPr>
        <w:pStyle w:val="Compact"/>
        <w:numPr>
          <w:ilvl w:val="0"/>
          <w:numId w:val="1008"/>
        </w:numPr>
      </w:pPr>
      <w:r>
        <w:t xml:space="preserve">Fecha anterior.</w:t>
      </w:r>
    </w:p>
    <w:p>
      <w:pPr>
        <w:pStyle w:val="Compact"/>
        <w:numPr>
          <w:ilvl w:val="0"/>
          <w:numId w:val="1008"/>
        </w:numPr>
      </w:pPr>
      <w:r>
        <w:t xml:space="preserve">Nueva fecha.</w:t>
      </w:r>
    </w:p>
    <w:p>
      <w:pPr>
        <w:pStyle w:val="Compact"/>
        <w:numPr>
          <w:ilvl w:val="0"/>
          <w:numId w:val="1008"/>
        </w:numPr>
      </w:pPr>
      <w:r>
        <w:t xml:space="preserve">Motivo.</w:t>
      </w:r>
    </w:p>
    <w:p>
      <w:pPr>
        <w:pStyle w:val="Compact"/>
        <w:numPr>
          <w:ilvl w:val="0"/>
          <w:numId w:val="1008"/>
        </w:numPr>
      </w:pPr>
      <w:r>
        <w:t xml:space="preserve">Usuario que realizó el cambio.</w:t>
      </w:r>
    </w:p>
    <w:p>
      <w:pPr>
        <w:pStyle w:val="Compact"/>
        <w:numPr>
          <w:ilvl w:val="0"/>
          <w:numId w:val="1008"/>
        </w:numPr>
      </w:pPr>
      <w:r>
        <w:t xml:space="preserve">Fecha del cambio.</w:t>
      </w:r>
    </w:p>
    <w:p>
      <w:pPr>
        <w:pStyle w:val="FirstParagraph"/>
      </w:pPr>
      <w:r>
        <w:t xml:space="preserve">Esto preserva la trazabilidad.</w:t>
      </w:r>
    </w:p>
    <w:p>
      <w:r>
        <w:pict>
          <v:rect style="width:0;height:1.5pt" o:hralign="center" o:hrstd="t" o:hr="t"/>
        </w:pict>
      </w:r>
    </w:p>
    <w:bookmarkEnd w:id="35"/>
    <w:bookmarkStart w:id="36" w:name="cancelación"/>
    <w:p>
      <w:pPr>
        <w:pStyle w:val="Heading1"/>
      </w:pPr>
      <w:r>
        <w:t xml:space="preserve">Cancelación</w:t>
      </w:r>
    </w:p>
    <w:p>
      <w:pPr>
        <w:pStyle w:val="FirstParagraph"/>
      </w:pPr>
      <w:r>
        <w:t xml:space="preserve">Toda cancelación registrará:</w:t>
      </w:r>
    </w:p>
    <w:p>
      <w:pPr>
        <w:pStyle w:val="Compact"/>
        <w:numPr>
          <w:ilvl w:val="0"/>
          <w:numId w:val="1009"/>
        </w:numPr>
      </w:pPr>
      <w:r>
        <w:t xml:space="preserve">Motivo.</w:t>
      </w:r>
    </w:p>
    <w:p>
      <w:pPr>
        <w:pStyle w:val="Compact"/>
        <w:numPr>
          <w:ilvl w:val="0"/>
          <w:numId w:val="1009"/>
        </w:numPr>
      </w:pPr>
      <w:r>
        <w:t xml:space="preserve">Usuario responsable.</w:t>
      </w:r>
    </w:p>
    <w:p>
      <w:pPr>
        <w:pStyle w:val="Compact"/>
        <w:numPr>
          <w:ilvl w:val="0"/>
          <w:numId w:val="1009"/>
        </w:numPr>
      </w:pPr>
      <w:r>
        <w:t xml:space="preserve">Fecha.</w:t>
      </w:r>
    </w:p>
    <w:p>
      <w:pPr>
        <w:pStyle w:val="Compact"/>
        <w:numPr>
          <w:ilvl w:val="0"/>
          <w:numId w:val="1009"/>
        </w:numPr>
      </w:pPr>
      <w:r>
        <w:t xml:space="preserve">Política aplicada (si corresponde).</w:t>
      </w:r>
    </w:p>
    <w:p>
      <w:r>
        <w:pict>
          <v:rect style="width:0;height:1.5pt" o:hralign="center" o:hrstd="t" o:hr="t"/>
        </w:pict>
      </w:r>
    </w:p>
    <w:bookmarkEnd w:id="36"/>
    <w:bookmarkStart w:id="37" w:name="recordatorios"/>
    <w:p>
      <w:pPr>
        <w:pStyle w:val="Heading1"/>
      </w:pPr>
      <w:r>
        <w:t xml:space="preserve">Recordatorios</w:t>
      </w:r>
    </w:p>
    <w:p>
      <w:pPr>
        <w:pStyle w:val="FirstParagraph"/>
      </w:pPr>
      <w:r>
        <w:t xml:space="preserve">El dominio emitirá eventos para:</w:t>
      </w:r>
    </w:p>
    <w:p>
      <w:pPr>
        <w:pStyle w:val="Compact"/>
        <w:numPr>
          <w:ilvl w:val="0"/>
          <w:numId w:val="1010"/>
        </w:numPr>
      </w:pPr>
      <w:r>
        <w:t xml:space="preserve">Recordatorios por correo.</w:t>
      </w:r>
    </w:p>
    <w:p>
      <w:pPr>
        <w:pStyle w:val="Compact"/>
        <w:numPr>
          <w:ilvl w:val="0"/>
          <w:numId w:val="1010"/>
        </w:numPr>
      </w:pPr>
      <w:r>
        <w:t xml:space="preserve">Recordatorios por SMS (fase futura).</w:t>
      </w:r>
    </w:p>
    <w:p>
      <w:pPr>
        <w:pStyle w:val="Compact"/>
        <w:numPr>
          <w:ilvl w:val="0"/>
          <w:numId w:val="1010"/>
        </w:numPr>
      </w:pPr>
      <w:r>
        <w:t xml:space="preserve">Recordatorios por WhatsApp (fase futura).</w:t>
      </w:r>
    </w:p>
    <w:p>
      <w:pPr>
        <w:pStyle w:val="FirstParagraph"/>
      </w:pPr>
      <w:r>
        <w:t xml:space="preserve">El envío pertenecerá al dominio de notificaciones.</w:t>
      </w:r>
    </w:p>
    <w:p>
      <w:r>
        <w:pict>
          <v:rect style="width:0;height:1.5pt" o:hralign="center" o:hrstd="t" o:hr="t"/>
        </w:pict>
      </w:r>
    </w:p>
    <w:bookmarkEnd w:id="37"/>
    <w:bookmarkStart w:id="38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Appointments consumirá:</w:t>
      </w:r>
    </w:p>
    <w:p>
      <w:pPr>
        <w:pStyle w:val="Compact"/>
        <w:numPr>
          <w:ilvl w:val="0"/>
          <w:numId w:val="1011"/>
        </w:numPr>
      </w:pPr>
      <w:r>
        <w:t xml:space="preserve">Customers.</w:t>
      </w:r>
    </w:p>
    <w:p>
      <w:pPr>
        <w:pStyle w:val="Compact"/>
        <w:numPr>
          <w:ilvl w:val="0"/>
          <w:numId w:val="1011"/>
        </w:numPr>
      </w:pPr>
      <w:r>
        <w:t xml:space="preserve">Specialists.</w:t>
      </w:r>
    </w:p>
    <w:p>
      <w:pPr>
        <w:pStyle w:val="Compact"/>
        <w:numPr>
          <w:ilvl w:val="0"/>
          <w:numId w:val="1011"/>
        </w:numPr>
      </w:pPr>
      <w:r>
        <w:t xml:space="preserve">Treatments.</w:t>
      </w:r>
    </w:p>
    <w:p>
      <w:pPr>
        <w:pStyle w:val="Compact"/>
        <w:numPr>
          <w:ilvl w:val="0"/>
          <w:numId w:val="1011"/>
        </w:numPr>
      </w:pPr>
      <w:r>
        <w:t xml:space="preserve">Notifications.</w:t>
      </w:r>
    </w:p>
    <w:p>
      <w:pPr>
        <w:pStyle w:val="Compact"/>
        <w:numPr>
          <w:ilvl w:val="0"/>
          <w:numId w:val="1011"/>
        </w:numPr>
      </w:pPr>
      <w:r>
        <w:t xml:space="preserve">Analytics.</w:t>
      </w:r>
    </w:p>
    <w:p>
      <w:pPr>
        <w:pStyle w:val="FirstParagraph"/>
      </w:pPr>
      <w:r>
        <w:t xml:space="preserve">No dependerá de la interfaz de usuario.</w:t>
      </w:r>
    </w:p>
    <w:p>
      <w:r>
        <w:pict>
          <v:rect style="width:0;height:1.5pt" o:hralign="center" o:hrstd="t" o:hr="t"/>
        </w:pict>
      </w:r>
    </w:p>
    <w:bookmarkEnd w:id="38"/>
    <w:bookmarkStart w:id="39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Eventos mínimos:</w:t>
      </w:r>
    </w:p>
    <w:p>
      <w:pPr>
        <w:pStyle w:val="Compact"/>
        <w:numPr>
          <w:ilvl w:val="0"/>
          <w:numId w:val="1012"/>
        </w:numPr>
      </w:pPr>
      <w:r>
        <w:t xml:space="preserve">AppointmentCreated</w:t>
      </w:r>
    </w:p>
    <w:p>
      <w:pPr>
        <w:pStyle w:val="Compact"/>
        <w:numPr>
          <w:ilvl w:val="0"/>
          <w:numId w:val="1012"/>
        </w:numPr>
      </w:pPr>
      <w:r>
        <w:t xml:space="preserve">AppointmentConfirmed</w:t>
      </w:r>
    </w:p>
    <w:p>
      <w:pPr>
        <w:pStyle w:val="Compact"/>
        <w:numPr>
          <w:ilvl w:val="0"/>
          <w:numId w:val="1012"/>
        </w:numPr>
      </w:pPr>
      <w:r>
        <w:t xml:space="preserve">AppointmentRescheduled</w:t>
      </w:r>
    </w:p>
    <w:p>
      <w:pPr>
        <w:pStyle w:val="Compact"/>
        <w:numPr>
          <w:ilvl w:val="0"/>
          <w:numId w:val="1012"/>
        </w:numPr>
      </w:pPr>
      <w:r>
        <w:t xml:space="preserve">AppointmentCancelled</w:t>
      </w:r>
    </w:p>
    <w:p>
      <w:pPr>
        <w:pStyle w:val="Compact"/>
        <w:numPr>
          <w:ilvl w:val="0"/>
          <w:numId w:val="1012"/>
        </w:numPr>
      </w:pPr>
      <w:r>
        <w:t xml:space="preserve">AppointmentCheckedIn</w:t>
      </w:r>
    </w:p>
    <w:p>
      <w:pPr>
        <w:pStyle w:val="Compact"/>
        <w:numPr>
          <w:ilvl w:val="0"/>
          <w:numId w:val="1012"/>
        </w:numPr>
      </w:pPr>
      <w:r>
        <w:t xml:space="preserve">AppointmentCompleted</w:t>
      </w:r>
    </w:p>
    <w:p>
      <w:r>
        <w:pict>
          <v:rect style="width:0;height:1.5pt" o:hralign="center" o:hrstd="t" o:hr="t"/>
        </w:pict>
      </w:r>
    </w:p>
    <w:bookmarkEnd w:id="39"/>
    <w:bookmarkStart w:id="40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3"/>
        </w:numPr>
      </w:pPr>
      <w:r>
        <w:t xml:space="preserve">Solapamiento de horarios.</w:t>
      </w:r>
    </w:p>
    <w:p>
      <w:pPr>
        <w:pStyle w:val="Compact"/>
        <w:numPr>
          <w:ilvl w:val="0"/>
          <w:numId w:val="1013"/>
        </w:numPr>
      </w:pPr>
      <w:r>
        <w:t xml:space="preserve">Doble reserva.</w:t>
      </w:r>
    </w:p>
    <w:p>
      <w:pPr>
        <w:pStyle w:val="Compact"/>
        <w:numPr>
          <w:ilvl w:val="0"/>
          <w:numId w:val="1013"/>
        </w:numPr>
      </w:pPr>
      <w:r>
        <w:t xml:space="preserve">Cambios sin auditoría.</w:t>
      </w:r>
    </w:p>
    <w:p>
      <w:pPr>
        <w:pStyle w:val="Compact"/>
        <w:numPr>
          <w:ilvl w:val="0"/>
          <w:numId w:val="1013"/>
        </w:numPr>
      </w:pPr>
      <w:r>
        <w:t xml:space="preserve">Inconsistencia entre disponibilidad y reservas.</w:t>
      </w:r>
    </w:p>
    <w:p>
      <w:pPr>
        <w:pStyle w:val="FirstParagraph"/>
      </w:pPr>
      <w:r>
        <w:t xml:space="preserve">Estos riesgos deberán abordarse mediante reglas de negocio y validaciones en backend.</w:t>
      </w:r>
    </w:p>
    <w:p>
      <w:r>
        <w:pict>
          <v:rect style="width:0;height:1.5pt" o:hralign="center" o:hrstd="t" o:hr="t"/>
        </w:pict>
      </w:r>
    </w:p>
    <w:bookmarkEnd w:id="40"/>
    <w:bookmarkStart w:id="41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4"/>
        </w:numPr>
      </w:pPr>
      <w:r>
        <w:t xml:space="preserve">Dominio definido.</w:t>
      </w:r>
    </w:p>
    <w:p>
      <w:pPr>
        <w:pStyle w:val="Compact"/>
        <w:numPr>
          <w:ilvl w:val="0"/>
          <w:numId w:val="1014"/>
        </w:numPr>
      </w:pPr>
      <w:r>
        <w:t xml:space="preserve">Ciclo de vida documentado.</w:t>
      </w:r>
    </w:p>
    <w:p>
      <w:pPr>
        <w:pStyle w:val="Compact"/>
        <w:numPr>
          <w:ilvl w:val="0"/>
          <w:numId w:val="1014"/>
        </w:numPr>
      </w:pPr>
      <w:r>
        <w:t xml:space="preserve">Estados definidos.</w:t>
      </w:r>
    </w:p>
    <w:p>
      <w:pPr>
        <w:pStyle w:val="Compact"/>
        <w:numPr>
          <w:ilvl w:val="0"/>
          <w:numId w:val="1014"/>
        </w:numPr>
      </w:pPr>
      <w:r>
        <w:t xml:space="preserve">Integraciones identificadas.</w:t>
      </w:r>
    </w:p>
    <w:p>
      <w:pPr>
        <w:pStyle w:val="Compact"/>
        <w:numPr>
          <w:ilvl w:val="0"/>
          <w:numId w:val="1014"/>
        </w:numPr>
      </w:pPr>
      <w:r>
        <w:t xml:space="preserve">Auditoría incluida.</w:t>
      </w:r>
    </w:p>
    <w:p>
      <w:pPr>
        <w:pStyle w:val="Compact"/>
        <w:numPr>
          <w:ilvl w:val="0"/>
          <w:numId w:val="1014"/>
        </w:numPr>
      </w:pPr>
      <w:r>
        <w:t xml:space="preserve">Riesgos analizados.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5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15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15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5"/>
        </w:numPr>
      </w:pPr>
      <w:r>
        <w:t xml:space="preserve">CORE001_PLATFORM_FOUNDATION_ARCHITECTURE.md</w:t>
      </w:r>
    </w:p>
    <w:p>
      <w:r>
        <w:pict>
          <v:rect style="width:0;height:1.5pt" o:hralign="center" o:hrstd="t" o:hr="t"/>
        </w:pict>
      </w:r>
    </w:p>
    <w:bookmarkEnd w:id="42"/>
    <w:bookmarkStart w:id="43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dominio Appointments.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2026-06-30T17:06:24Z</dcterms:created>
  <dcterms:modified xsi:type="dcterms:W3CDTF">2026-06-30T17:06:24Z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