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sec002-authorization-model"/>
    <w:p>
      <w:pPr>
        <w:pStyle w:val="Heading1"/>
      </w:pPr>
      <w:r>
        <w:t xml:space="preserve">SEC002 — AUTHORIZATION MODEL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el modelo oficial de autorización de la plataforma.</w:t>
      </w:r>
    </w:p>
    <w:p>
      <w:pPr>
        <w:pStyle w:val="BodyText"/>
      </w:pPr>
      <w:r>
        <w:t xml:space="preserve">La autorización determina qué acciones puede realizar un usuario sobre un recurso, independientemente del método utilizado para autenticarse.</w:t>
      </w:r>
    </w:p>
    <w:p>
      <w:pPr>
        <w:pStyle w:val="BodyText"/>
      </w:pPr>
      <w:r>
        <w:t xml:space="preserve">Authentication responde a:</w:t>
      </w:r>
    </w:p>
    <w:p>
      <w:pPr>
        <w:pStyle w:val="BlockText"/>
      </w:pPr>
      <w:r>
        <w:t xml:space="preserve">¿Quién eres?</w:t>
      </w:r>
    </w:p>
    <w:p>
      <w:pPr>
        <w:pStyle w:val="FirstParagraph"/>
      </w:pPr>
      <w:r>
        <w:t xml:space="preserve">Authorization responde a:</w:t>
      </w:r>
    </w:p>
    <w:p>
      <w:pPr>
        <w:pStyle w:val="BlockText"/>
      </w:pPr>
      <w:r>
        <w:t xml:space="preserve">¿Qué puedes hacer?</w:t>
      </w:r>
    </w:p>
    <w:p>
      <w:r>
        <w:pict>
          <v:rect style="width:0;height:1.5pt" o:hralign="center" o:hrstd="t" o:hr="t"/>
        </w:pict>
      </w:r>
    </w:p>
    <w:bookmarkEnd w:id="22"/>
    <w:bookmarkStart w:id="23" w:name="objetivos"/>
    <w:p>
      <w:pPr>
        <w:pStyle w:val="Heading1"/>
      </w:pPr>
      <w:r>
        <w:t xml:space="preserve">Objetivos</w:t>
      </w:r>
    </w:p>
    <w:p>
      <w:pPr>
        <w:pStyle w:val="FirstParagraph"/>
      </w:pPr>
      <w:r>
        <w:t xml:space="preserve">El modelo deberá permitir:</w:t>
      </w:r>
    </w:p>
    <w:p>
      <w:pPr>
        <w:pStyle w:val="Compact"/>
        <w:numPr>
          <w:ilvl w:val="0"/>
          <w:numId w:val="1001"/>
        </w:numPr>
      </w:pPr>
      <w:r>
        <w:t xml:space="preserve">Escalar a múltiples organizaciones.</w:t>
      </w:r>
    </w:p>
    <w:p>
      <w:pPr>
        <w:pStyle w:val="Compact"/>
        <w:numPr>
          <w:ilvl w:val="0"/>
          <w:numId w:val="1001"/>
        </w:numPr>
      </w:pPr>
      <w:r>
        <w:t xml:space="preserve">Incorporar nuevos roles.</w:t>
      </w:r>
    </w:p>
    <w:p>
      <w:pPr>
        <w:pStyle w:val="Compact"/>
        <w:numPr>
          <w:ilvl w:val="0"/>
          <w:numId w:val="1001"/>
        </w:numPr>
      </w:pPr>
      <w:r>
        <w:t xml:space="preserve">Incorporar nuevos permisos.</w:t>
      </w:r>
    </w:p>
    <w:p>
      <w:pPr>
        <w:pStyle w:val="Compact"/>
        <w:numPr>
          <w:ilvl w:val="0"/>
          <w:numId w:val="1001"/>
        </w:numPr>
      </w:pPr>
      <w:r>
        <w:t xml:space="preserve">Definir políticas reutilizables.</w:t>
      </w:r>
    </w:p>
    <w:p>
      <w:pPr>
        <w:pStyle w:val="Compact"/>
        <w:numPr>
          <w:ilvl w:val="0"/>
          <w:numId w:val="1001"/>
        </w:numPr>
      </w:pPr>
      <w:r>
        <w:t xml:space="preserve">Reducir duplicación.</w:t>
      </w:r>
    </w:p>
    <w:p>
      <w:pPr>
        <w:pStyle w:val="Compact"/>
        <w:numPr>
          <w:ilvl w:val="0"/>
          <w:numId w:val="1001"/>
        </w:numPr>
      </w:pPr>
      <w:r>
        <w:t xml:space="preserve">Evitar reglas complejas en Firestore.</w:t>
      </w:r>
    </w:p>
    <w:p>
      <w:r>
        <w:pict>
          <v:rect style="width:0;height:1.5pt" o:hralign="center" o:hrstd="t" o:hr="t"/>
        </w:pict>
      </w:r>
    </w:p>
    <w:bookmarkEnd w:id="23"/>
    <w:bookmarkStart w:id="24" w:name="modelo-general"/>
    <w:p>
      <w:pPr>
        <w:pStyle w:val="Heading1"/>
      </w:pPr>
      <w:r>
        <w:t xml:space="preserve">Modelo General</w:t>
      </w:r>
    </w:p>
    <w:p>
      <w:pPr>
        <w:pStyle w:val="FirstParagraph"/>
      </w:pPr>
      <w:r>
        <w:t xml:space="preserve">La autorización seguirá el siguiente flujo: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Identity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Role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Resources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Access Granted / Denied</w:t>
      </w:r>
    </w:p>
    <w:p>
      <w:pPr>
        <w:pStyle w:val="FirstParagraph"/>
      </w:pPr>
      <w:r>
        <w:t xml:space="preserve">Cada nivel tiene una responsabilidad claramente definida.</w:t>
      </w:r>
    </w:p>
    <w:p>
      <w:r>
        <w:pict>
          <v:rect style="width:0;height:1.5pt" o:hralign="center" o:hrstd="t" o:hr="t"/>
        </w:pict>
      </w:r>
    </w:p>
    <w:bookmarkEnd w:id="24"/>
    <w:bookmarkStart w:id="32" w:name="componentes"/>
    <w:p>
      <w:pPr>
        <w:pStyle w:val="Heading1"/>
      </w:pPr>
      <w:r>
        <w:t xml:space="preserve">Componentes</w:t>
      </w:r>
    </w:p>
    <w:bookmarkStart w:id="25" w:name="identity"/>
    <w:p>
      <w:pPr>
        <w:pStyle w:val="Heading2"/>
      </w:pPr>
      <w:r>
        <w:t xml:space="preserve">Identity</w:t>
      </w:r>
    </w:p>
    <w:p>
      <w:pPr>
        <w:pStyle w:val="FirstParagraph"/>
      </w:pPr>
      <w:r>
        <w:t xml:space="preserve">Representa la identidad autenticada.</w:t>
      </w:r>
    </w:p>
    <w:p>
      <w:pPr>
        <w:pStyle w:val="BodyText"/>
      </w:pPr>
      <w:r>
        <w:t xml:space="preserve">No contiene permisos.</w:t>
      </w:r>
    </w:p>
    <w:p>
      <w:pPr>
        <w:pStyle w:val="BodyText"/>
      </w:pPr>
      <w:r>
        <w:t xml:space="preserve">No contiene lógica del negocio.</w:t>
      </w:r>
    </w:p>
    <w:p>
      <w:pPr>
        <w:pStyle w:val="BodyText"/>
      </w:pPr>
      <w:r>
        <w:t xml:space="preserve">Únicamente identifica al usuario.</w:t>
      </w:r>
    </w:p>
    <w:p>
      <w:r>
        <w:pict>
          <v:rect style="width:0;height:1.5pt" o:hralign="center" o:hrstd="t" o:hr="t"/>
        </w:pict>
      </w:r>
    </w:p>
    <w:bookmarkEnd w:id="25"/>
    <w:bookmarkStart w:id="26" w:name="organization"/>
    <w:p>
      <w:pPr>
        <w:pStyle w:val="Heading2"/>
      </w:pPr>
      <w:r>
        <w:t xml:space="preserve">Organization</w:t>
      </w:r>
    </w:p>
    <w:p>
      <w:pPr>
        <w:pStyle w:val="FirstParagraph"/>
      </w:pPr>
      <w:r>
        <w:t xml:space="preserve">Todo usuario pertenece a una organización.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Resources</w:t>
      </w:r>
    </w:p>
    <w:p>
      <w:pPr>
        <w:pStyle w:val="FirstParagraph"/>
      </w:pPr>
      <w:r>
        <w:t xml:space="preserve">Nunca se evaluarán permisos fuera del contexto de una organización.</w:t>
      </w:r>
    </w:p>
    <w:p>
      <w:r>
        <w:pict>
          <v:rect style="width:0;height:1.5pt" o:hralign="center" o:hrstd="t" o:hr="t"/>
        </w:pict>
      </w:r>
    </w:p>
    <w:bookmarkEnd w:id="26"/>
    <w:bookmarkStart w:id="27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Un rol agrupa permisos.</w:t>
      </w:r>
    </w:p>
    <w:p>
      <w:pPr>
        <w:pStyle w:val="BodyText"/>
      </w:pPr>
      <w:r>
        <w:t xml:space="preserve">Ejemplos iniciales:</w:t>
      </w:r>
    </w:p>
    <w:p>
      <w:pPr>
        <w:pStyle w:val="Compact"/>
        <w:numPr>
          <w:ilvl w:val="0"/>
          <w:numId w:val="1002"/>
        </w:numPr>
      </w:pPr>
      <w:r>
        <w:t xml:space="preserve">SuperAdmin</w:t>
      </w:r>
    </w:p>
    <w:p>
      <w:pPr>
        <w:pStyle w:val="Compact"/>
        <w:numPr>
          <w:ilvl w:val="0"/>
          <w:numId w:val="1002"/>
        </w:numPr>
      </w:pPr>
      <w:r>
        <w:t xml:space="preserve">Administrator</w:t>
      </w:r>
    </w:p>
    <w:p>
      <w:pPr>
        <w:pStyle w:val="Compact"/>
        <w:numPr>
          <w:ilvl w:val="0"/>
          <w:numId w:val="1002"/>
        </w:numPr>
      </w:pPr>
      <w:r>
        <w:t xml:space="preserve">Receptionist</w:t>
      </w:r>
    </w:p>
    <w:p>
      <w:pPr>
        <w:pStyle w:val="Compact"/>
        <w:numPr>
          <w:ilvl w:val="0"/>
          <w:numId w:val="1002"/>
        </w:numPr>
      </w:pPr>
      <w:r>
        <w:t xml:space="preserve">Specialist</w:t>
      </w:r>
    </w:p>
    <w:p>
      <w:pPr>
        <w:pStyle w:val="Compact"/>
        <w:numPr>
          <w:ilvl w:val="0"/>
          <w:numId w:val="1002"/>
        </w:numPr>
      </w:pPr>
      <w:r>
        <w:t xml:space="preserve">Customer</w:t>
      </w:r>
    </w:p>
    <w:p>
      <w:pPr>
        <w:pStyle w:val="Compact"/>
        <w:numPr>
          <w:ilvl w:val="0"/>
          <w:numId w:val="1002"/>
        </w:numPr>
      </w:pPr>
      <w:r>
        <w:t xml:space="preserve">Guest</w:t>
      </w:r>
    </w:p>
    <w:p>
      <w:pPr>
        <w:pStyle w:val="FirstParagraph"/>
      </w:pPr>
      <w:r>
        <w:t xml:space="preserve">Los roles simplifican la administración, pero no se utilizarán directamente en las reglas de negocio.</w:t>
      </w:r>
    </w:p>
    <w:p>
      <w:r>
        <w:pict>
          <v:rect style="width:0;height:1.5pt" o:hralign="center" o:hrstd="t" o:hr="t"/>
        </w:pict>
      </w:r>
    </w:p>
    <w:bookmarkEnd w:id="27"/>
    <w:bookmarkStart w:id="28" w:name="permission"/>
    <w:p>
      <w:pPr>
        <w:pStyle w:val="Heading2"/>
      </w:pPr>
      <w:r>
        <w:t xml:space="preserve">Permission</w:t>
      </w:r>
    </w:p>
    <w:p>
      <w:pPr>
        <w:pStyle w:val="FirstParagraph"/>
      </w:pPr>
      <w:r>
        <w:t xml:space="preserve">Representa una capacidad específica.</w:t>
      </w:r>
    </w:p>
    <w:p>
      <w:pPr>
        <w:pStyle w:val="BodyText"/>
      </w:pPr>
      <w:r>
        <w:t xml:space="preserve">Formato recomendado:</w:t>
      </w:r>
    </w:p>
    <w:p>
      <w:pPr>
        <w:pStyle w:val="SourceCode"/>
      </w:pPr>
      <w:r>
        <w:rPr>
          <w:rStyle w:val="VerbatimChar"/>
        </w:rPr>
        <w:t xml:space="preserve">resource.action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appointments.read</w:t>
      </w:r>
      <w:r>
        <w:br/>
      </w:r>
      <w:r>
        <w:rPr>
          <w:rStyle w:val="VerbatimChar"/>
        </w:rPr>
        <w:t xml:space="preserve">appointments.create</w:t>
      </w:r>
      <w:r>
        <w:br/>
      </w:r>
      <w:r>
        <w:rPr>
          <w:rStyle w:val="VerbatimChar"/>
        </w:rPr>
        <w:t xml:space="preserve">appointments.update</w:t>
      </w:r>
      <w:r>
        <w:br/>
      </w:r>
      <w:r>
        <w:rPr>
          <w:rStyle w:val="VerbatimChar"/>
        </w:rPr>
        <w:t xml:space="preserve">appointments.cancel</w:t>
      </w:r>
      <w:r>
        <w:br/>
      </w:r>
      <w:r>
        <w:br/>
      </w:r>
      <w:r>
        <w:rPr>
          <w:rStyle w:val="VerbatimChar"/>
        </w:rPr>
        <w:t xml:space="preserve">customers.read</w:t>
      </w:r>
      <w:r>
        <w:br/>
      </w:r>
      <w:r>
        <w:rPr>
          <w:rStyle w:val="VerbatimChar"/>
        </w:rPr>
        <w:t xml:space="preserve">customers.update</w:t>
      </w:r>
      <w:r>
        <w:br/>
      </w:r>
      <w:r>
        <w:br/>
      </w:r>
      <w:r>
        <w:rPr>
          <w:rStyle w:val="VerbatimChar"/>
        </w:rPr>
        <w:t xml:space="preserve">products.create</w:t>
      </w:r>
      <w:r>
        <w:br/>
      </w:r>
      <w:r>
        <w:rPr>
          <w:rStyle w:val="VerbatimChar"/>
        </w:rPr>
        <w:t xml:space="preserve">products.update</w:t>
      </w:r>
      <w:r>
        <w:br/>
      </w:r>
      <w:r>
        <w:br/>
      </w:r>
      <w:r>
        <w:rPr>
          <w:rStyle w:val="VerbatimChar"/>
        </w:rPr>
        <w:t xml:space="preserve">orders.refund</w:t>
      </w:r>
      <w:r>
        <w:br/>
      </w:r>
      <w:r>
        <w:br/>
      </w:r>
      <w:r>
        <w:rPr>
          <w:rStyle w:val="VerbatimChar"/>
        </w:rPr>
        <w:t xml:space="preserve">reports.export</w:t>
      </w:r>
      <w:r>
        <w:br/>
      </w:r>
      <w:r>
        <w:br/>
      </w:r>
      <w:r>
        <w:rPr>
          <w:rStyle w:val="VerbatimChar"/>
        </w:rPr>
        <w:t xml:space="preserve">users.manage</w:t>
      </w:r>
    </w:p>
    <w:p>
      <w:pPr>
        <w:pStyle w:val="FirstParagraph"/>
      </w:pPr>
      <w:r>
        <w:t xml:space="preserve">Los permisos son la unidad mínima de autorización.</w:t>
      </w:r>
    </w:p>
    <w:p>
      <w:r>
        <w:pict>
          <v:rect style="width:0;height:1.5pt" o:hralign="center" o:hrstd="t" o:hr="t"/>
        </w:pict>
      </w:r>
    </w:p>
    <w:bookmarkEnd w:id="28"/>
    <w:bookmarkStart w:id="29" w:name="resource"/>
    <w:p>
      <w:pPr>
        <w:pStyle w:val="Heading2"/>
      </w:pPr>
      <w:r>
        <w:t xml:space="preserve">Resource</w:t>
      </w:r>
    </w:p>
    <w:p>
      <w:pPr>
        <w:pStyle w:val="FirstParagraph"/>
      </w:pPr>
      <w:r>
        <w:t xml:space="preserve">Todo elemento protegible será un recurso.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Appointment</w:t>
      </w:r>
    </w:p>
    <w:p>
      <w:pPr>
        <w:pStyle w:val="Compact"/>
        <w:numPr>
          <w:ilvl w:val="0"/>
          <w:numId w:val="1003"/>
        </w:numPr>
      </w:pPr>
      <w:r>
        <w:t xml:space="preserve">Customer</w:t>
      </w:r>
    </w:p>
    <w:p>
      <w:pPr>
        <w:pStyle w:val="Compact"/>
        <w:numPr>
          <w:ilvl w:val="0"/>
          <w:numId w:val="1003"/>
        </w:numPr>
      </w:pPr>
      <w:r>
        <w:t xml:space="preserve">Product</w:t>
      </w:r>
    </w:p>
    <w:p>
      <w:pPr>
        <w:pStyle w:val="Compact"/>
        <w:numPr>
          <w:ilvl w:val="0"/>
          <w:numId w:val="1003"/>
        </w:numPr>
      </w:pPr>
      <w:r>
        <w:t xml:space="preserve">Order</w:t>
      </w:r>
    </w:p>
    <w:p>
      <w:pPr>
        <w:pStyle w:val="Compact"/>
        <w:numPr>
          <w:ilvl w:val="0"/>
          <w:numId w:val="1003"/>
        </w:numPr>
      </w:pPr>
      <w:r>
        <w:t xml:space="preserve">Report</w:t>
      </w:r>
    </w:p>
    <w:p>
      <w:pPr>
        <w:pStyle w:val="Compact"/>
        <w:numPr>
          <w:ilvl w:val="0"/>
          <w:numId w:val="1003"/>
        </w:numPr>
      </w:pPr>
      <w:r>
        <w:t xml:space="preserve">User</w:t>
      </w:r>
    </w:p>
    <w:p>
      <w:pPr>
        <w:pStyle w:val="Compact"/>
        <w:numPr>
          <w:ilvl w:val="0"/>
          <w:numId w:val="1003"/>
        </w:numPr>
      </w:pPr>
      <w:r>
        <w:t xml:space="preserve">Treatment</w:t>
      </w:r>
    </w:p>
    <w:p>
      <w:pPr>
        <w:pStyle w:val="FirstParagraph"/>
      </w:pPr>
      <w:r>
        <w:t xml:space="preserve">Cada recurso podrá evolucionar independientemente.</w:t>
      </w:r>
    </w:p>
    <w:p>
      <w:r>
        <w:pict>
          <v:rect style="width:0;height:1.5pt" o:hralign="center" o:hrstd="t" o:hr="t"/>
        </w:pict>
      </w:r>
    </w:p>
    <w:bookmarkEnd w:id="29"/>
    <w:bookmarkStart w:id="30" w:name="action"/>
    <w:p>
      <w:pPr>
        <w:pStyle w:val="Heading2"/>
      </w:pPr>
      <w:r>
        <w:t xml:space="preserve">Action</w:t>
      </w:r>
    </w:p>
    <w:p>
      <w:pPr>
        <w:pStyle w:val="FirstParagraph"/>
      </w:pPr>
      <w:r>
        <w:t xml:space="preserve">Acciones estándar:</w:t>
      </w:r>
    </w:p>
    <w:p>
      <w:pPr>
        <w:pStyle w:val="Compact"/>
        <w:numPr>
          <w:ilvl w:val="0"/>
          <w:numId w:val="1004"/>
        </w:numPr>
      </w:pPr>
      <w:r>
        <w:t xml:space="preserve">Create</w:t>
      </w:r>
    </w:p>
    <w:p>
      <w:pPr>
        <w:pStyle w:val="Compact"/>
        <w:numPr>
          <w:ilvl w:val="0"/>
          <w:numId w:val="1004"/>
        </w:numPr>
      </w:pPr>
      <w:r>
        <w:t xml:space="preserve">Read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</w:p>
    <w:p>
      <w:pPr>
        <w:pStyle w:val="Compact"/>
        <w:numPr>
          <w:ilvl w:val="0"/>
          <w:numId w:val="1004"/>
        </w:numPr>
      </w:pPr>
      <w:r>
        <w:t xml:space="preserve">Delete</w:t>
      </w:r>
    </w:p>
    <w:p>
      <w:pPr>
        <w:pStyle w:val="Compact"/>
        <w:numPr>
          <w:ilvl w:val="0"/>
          <w:numId w:val="1004"/>
        </w:numPr>
      </w:pPr>
      <w:r>
        <w:t xml:space="preserve">Approve</w:t>
      </w:r>
    </w:p>
    <w:p>
      <w:pPr>
        <w:pStyle w:val="Compact"/>
        <w:numPr>
          <w:ilvl w:val="0"/>
          <w:numId w:val="1004"/>
        </w:numPr>
      </w:pPr>
      <w:r>
        <w:t xml:space="preserve">Cancel</w:t>
      </w:r>
    </w:p>
    <w:p>
      <w:pPr>
        <w:pStyle w:val="Compact"/>
        <w:numPr>
          <w:ilvl w:val="0"/>
          <w:numId w:val="1004"/>
        </w:numPr>
      </w:pPr>
      <w:r>
        <w:t xml:space="preserve">Assign</w:t>
      </w:r>
    </w:p>
    <w:p>
      <w:pPr>
        <w:pStyle w:val="Compact"/>
        <w:numPr>
          <w:ilvl w:val="0"/>
          <w:numId w:val="1004"/>
        </w:numPr>
      </w:pPr>
      <w:r>
        <w:t xml:space="preserve">Export</w:t>
      </w:r>
    </w:p>
    <w:p>
      <w:pPr>
        <w:pStyle w:val="Compact"/>
        <w:numPr>
          <w:ilvl w:val="0"/>
          <w:numId w:val="1004"/>
        </w:numPr>
      </w:pPr>
      <w:r>
        <w:t xml:space="preserve">Archive</w:t>
      </w:r>
    </w:p>
    <w:p>
      <w:pPr>
        <w:pStyle w:val="Compact"/>
        <w:numPr>
          <w:ilvl w:val="0"/>
          <w:numId w:val="1004"/>
        </w:numPr>
      </w:pPr>
      <w:r>
        <w:t xml:space="preserve">Restore</w:t>
      </w:r>
    </w:p>
    <w:p>
      <w:pPr>
        <w:pStyle w:val="FirstParagraph"/>
      </w:pPr>
      <w:r>
        <w:t xml:space="preserve">No todos los recursos implementarán todas las acciones.</w:t>
      </w:r>
    </w:p>
    <w:p>
      <w:r>
        <w:pict>
          <v:rect style="width:0;height:1.5pt" o:hralign="center" o:hrstd="t" o:hr="t"/>
        </w:pict>
      </w:r>
    </w:p>
    <w:bookmarkEnd w:id="30"/>
    <w:bookmarkStart w:id="31" w:name="policy"/>
    <w:p>
      <w:pPr>
        <w:pStyle w:val="Heading2"/>
      </w:pPr>
      <w:r>
        <w:t xml:space="preserve">Policy</w:t>
      </w:r>
    </w:p>
    <w:p>
      <w:pPr>
        <w:pStyle w:val="FirstParagraph"/>
      </w:pPr>
      <w:r>
        <w:t xml:space="preserve">Las políticas determinan si una operación está permitida.</w:t>
      </w:r>
    </w:p>
    <w:p>
      <w:pPr>
        <w:pStyle w:val="BodyText"/>
      </w:pPr>
      <w:r>
        <w:t xml:space="preserve">Una política puede evaluar:</w:t>
      </w:r>
    </w:p>
    <w:p>
      <w:pPr>
        <w:pStyle w:val="Compact"/>
        <w:numPr>
          <w:ilvl w:val="0"/>
          <w:numId w:val="1005"/>
        </w:numPr>
      </w:pPr>
      <w:r>
        <w:t xml:space="preserve">Permisos.</w:t>
      </w:r>
    </w:p>
    <w:p>
      <w:pPr>
        <w:pStyle w:val="Compact"/>
        <w:numPr>
          <w:ilvl w:val="0"/>
          <w:numId w:val="1005"/>
        </w:numPr>
      </w:pPr>
      <w:r>
        <w:t xml:space="preserve">Propiedad del recurso.</w:t>
      </w:r>
    </w:p>
    <w:p>
      <w:pPr>
        <w:pStyle w:val="Compact"/>
        <w:numPr>
          <w:ilvl w:val="0"/>
          <w:numId w:val="1005"/>
        </w:numPr>
      </w:pPr>
      <w:r>
        <w:t xml:space="preserve">Organización.</w:t>
      </w:r>
    </w:p>
    <w:p>
      <w:pPr>
        <w:pStyle w:val="Compact"/>
        <w:numPr>
          <w:ilvl w:val="0"/>
          <w:numId w:val="1005"/>
        </w:numPr>
      </w:pPr>
      <w:r>
        <w:t xml:space="preserve">Estado del recurso.</w:t>
      </w:r>
    </w:p>
    <w:p>
      <w:pPr>
        <w:pStyle w:val="Compact"/>
        <w:numPr>
          <w:ilvl w:val="0"/>
          <w:numId w:val="1005"/>
        </w:numPr>
      </w:pPr>
      <w:r>
        <w:t xml:space="preserve">Horario.</w:t>
      </w:r>
    </w:p>
    <w:p>
      <w:pPr>
        <w:pStyle w:val="Compact"/>
        <w:numPr>
          <w:ilvl w:val="0"/>
          <w:numId w:val="1005"/>
        </w:numPr>
      </w:pPr>
      <w:r>
        <w:t xml:space="preserve">Restricciones específicas del dominio.</w:t>
      </w:r>
    </w:p>
    <w:p>
      <w:pPr>
        <w:pStyle w:val="FirstParagraph"/>
      </w:pPr>
      <w:r>
        <w:t xml:space="preserve">Las políticas encapsulan la lógica compleja de autorización y evitan duplicarla.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ownership"/>
    <w:p>
      <w:pPr>
        <w:pStyle w:val="Heading1"/>
      </w:pPr>
      <w:r>
        <w:t xml:space="preserve">Ownership</w:t>
      </w:r>
    </w:p>
    <w:p>
      <w:pPr>
        <w:pStyle w:val="FirstParagraph"/>
      </w:pPr>
      <w:r>
        <w:t xml:space="preserve">Algunos recursos pertenecen a un usuario específico.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Perfil del cliente.</w:t>
      </w:r>
    </w:p>
    <w:p>
      <w:pPr>
        <w:pStyle w:val="Compact"/>
        <w:numPr>
          <w:ilvl w:val="0"/>
          <w:numId w:val="1006"/>
        </w:numPr>
      </w:pPr>
      <w:r>
        <w:t xml:space="preserve">Carrito.</w:t>
      </w:r>
    </w:p>
    <w:p>
      <w:pPr>
        <w:pStyle w:val="Compact"/>
        <w:numPr>
          <w:ilvl w:val="0"/>
          <w:numId w:val="1006"/>
        </w:numPr>
      </w:pPr>
      <w:r>
        <w:t xml:space="preserve">Lista de favoritos.</w:t>
      </w:r>
    </w:p>
    <w:p>
      <w:pPr>
        <w:pStyle w:val="FirstParagraph"/>
      </w:pPr>
      <w:r>
        <w:t xml:space="preserve">El propietario podrá realizar operaciones permitidas sobre sus propios recursos sin necesidad de permisos administrativos.</w:t>
      </w:r>
    </w:p>
    <w:p>
      <w:r>
        <w:pict>
          <v:rect style="width:0;height:1.5pt" o:hralign="center" o:hrstd="t" o:hr="t"/>
        </w:pict>
      </w:r>
    </w:p>
    <w:bookmarkEnd w:id="33"/>
    <w:bookmarkStart w:id="34" w:name="multi-tenant"/>
    <w:p>
      <w:pPr>
        <w:pStyle w:val="Heading1"/>
      </w:pPr>
      <w:r>
        <w:t xml:space="preserve">Multi-Tenant</w:t>
      </w:r>
    </w:p>
    <w:p>
      <w:pPr>
        <w:pStyle w:val="FirstParagraph"/>
      </w:pPr>
      <w:r>
        <w:t xml:space="preserve">Toda evaluación de autorización se realizará dentro del contexto de una organización.</w:t>
      </w:r>
    </w:p>
    <w:p>
      <w:pPr>
        <w:pStyle w:val="BodyText"/>
      </w:pPr>
      <w:r>
        <w:t xml:space="preserve">No existirán permisos globales que permitan acceder a datos de otra organización, salvo perfiles específicamente diseñados para administración de la plataforma.</w:t>
      </w:r>
    </w:p>
    <w:p>
      <w:r>
        <w:pict>
          <v:rect style="width:0;height:1.5pt" o:hralign="center" o:hrstd="t" o:hr="t"/>
        </w:pict>
      </w:r>
    </w:p>
    <w:bookmarkEnd w:id="34"/>
    <w:bookmarkStart w:id="35" w:name="jerarquía"/>
    <w:p>
      <w:pPr>
        <w:pStyle w:val="Heading1"/>
      </w:pPr>
      <w:r>
        <w:t xml:space="preserve">Jerarquía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Role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Permission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Policy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Resource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Action</w:t>
      </w:r>
    </w:p>
    <w:p>
      <w:pPr>
        <w:pStyle w:val="FirstParagraph"/>
      </w:pPr>
      <w:r>
        <w:t xml:space="preserve">Esta jerarquía deberá mantenerse en todos los módulos.</w:t>
      </w:r>
    </w:p>
    <w:p>
      <w:r>
        <w:pict>
          <v:rect style="width:0;height:1.5pt" o:hralign="center" o:hrstd="t" o:hr="t"/>
        </w:pict>
      </w:r>
    </w:p>
    <w:bookmarkEnd w:id="35"/>
    <w:bookmarkStart w:id="36" w:name="integración-con-firebase"/>
    <w:p>
      <w:pPr>
        <w:pStyle w:val="Heading1"/>
      </w:pPr>
      <w:r>
        <w:t xml:space="preserve">Integración con Firebase</w:t>
      </w:r>
    </w:p>
    <w:p>
      <w:pPr>
        <w:pStyle w:val="FirstParagraph"/>
      </w:pPr>
      <w:r>
        <w:t xml:space="preserve">Firebase Authentication proporcionará la identidad.</w:t>
      </w:r>
    </w:p>
    <w:p>
      <w:pPr>
        <w:pStyle w:val="BodyText"/>
      </w:pPr>
      <w:r>
        <w:t xml:space="preserve">Las reglas de autorización pertenecerán a este modelo.</w:t>
      </w:r>
    </w:p>
    <w:p>
      <w:pPr>
        <w:pStyle w:val="BodyText"/>
      </w:pPr>
      <w:r>
        <w:t xml:space="preserve">Las reglas de Firestore y Cloud Functions consumirán esta información para tomar decisiones.</w:t>
      </w:r>
    </w:p>
    <w:p>
      <w:r>
        <w:pict>
          <v:rect style="width:0;height:1.5pt" o:hralign="center" o:hrstd="t" o:hr="t"/>
        </w:pict>
      </w:r>
    </w:p>
    <w:bookmarkEnd w:id="36"/>
    <w:bookmarkStart w:id="37" w:name="principio-de-mínimo-privilegio"/>
    <w:p>
      <w:pPr>
        <w:pStyle w:val="Heading1"/>
      </w:pPr>
      <w:r>
        <w:t xml:space="preserve">Principio de Mínimo Privilegio</w:t>
      </w:r>
    </w:p>
    <w:p>
      <w:pPr>
        <w:pStyle w:val="FirstParagraph"/>
      </w:pPr>
      <w:r>
        <w:t xml:space="preserve">Todo usuario recibirá únicamente los permisos necesarios para realizar sus funciones.</w:t>
      </w:r>
    </w:p>
    <w:p>
      <w:pPr>
        <w:pStyle w:val="BodyText"/>
      </w:pPr>
      <w:r>
        <w:t xml:space="preserve">Los permisos adicionales deberán asignarse de forma explícita y documentada.</w:t>
      </w:r>
    </w:p>
    <w:p>
      <w:r>
        <w:pict>
          <v:rect style="width:0;height:1.5pt" o:hralign="center" o:hrstd="t" o:hr="t"/>
        </w:pict>
      </w:r>
    </w:p>
    <w:bookmarkEnd w:id="37"/>
    <w:bookmarkStart w:id="38" w:name="extensibilidad"/>
    <w:p>
      <w:pPr>
        <w:pStyle w:val="Heading1"/>
      </w:pPr>
      <w:r>
        <w:t xml:space="preserve">Extensibilidad</w:t>
      </w:r>
    </w:p>
    <w:p>
      <w:pPr>
        <w:pStyle w:val="FirstParagraph"/>
      </w:pPr>
      <w:r>
        <w:t xml:space="preserve">El modelo permitirá:</w:t>
      </w:r>
    </w:p>
    <w:p>
      <w:pPr>
        <w:pStyle w:val="Compact"/>
        <w:numPr>
          <w:ilvl w:val="0"/>
          <w:numId w:val="1007"/>
        </w:numPr>
      </w:pPr>
      <w:r>
        <w:t xml:space="preserve">Crear nuevos roles.</w:t>
      </w:r>
    </w:p>
    <w:p>
      <w:pPr>
        <w:pStyle w:val="Compact"/>
        <w:numPr>
          <w:ilvl w:val="0"/>
          <w:numId w:val="1007"/>
        </w:numPr>
      </w:pPr>
      <w:r>
        <w:t xml:space="preserve">Añadir nuevos permisos.</w:t>
      </w:r>
    </w:p>
    <w:p>
      <w:pPr>
        <w:pStyle w:val="Compact"/>
        <w:numPr>
          <w:ilvl w:val="0"/>
          <w:numId w:val="1007"/>
        </w:numPr>
      </w:pPr>
      <w:r>
        <w:t xml:space="preserve">Incorporar nuevas políticas.</w:t>
      </w:r>
    </w:p>
    <w:p>
      <w:pPr>
        <w:pStyle w:val="Compact"/>
        <w:numPr>
          <w:ilvl w:val="0"/>
          <w:numId w:val="1007"/>
        </w:numPr>
      </w:pPr>
      <w:r>
        <w:t xml:space="preserve">Definir recursos adicionales.</w:t>
      </w:r>
    </w:p>
    <w:p>
      <w:pPr>
        <w:pStyle w:val="FirstParagraph"/>
      </w:pPr>
      <w:r>
        <w:t xml:space="preserve">Sin modificar la arquitectura existente.</w:t>
      </w:r>
    </w:p>
    <w:p>
      <w:r>
        <w:pict>
          <v:rect style="width:0;height:1.5pt" o:hralign="center" o:hrstd="t" o:hr="t"/>
        </w:pict>
      </w:r>
    </w:p>
    <w:bookmarkEnd w:id="38"/>
    <w:bookmarkStart w:id="39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08"/>
        </w:numPr>
      </w:pPr>
      <w:r>
        <w:t xml:space="preserve">Exceso de permisos por rol.</w:t>
      </w:r>
    </w:p>
    <w:p>
      <w:pPr>
        <w:pStyle w:val="Compact"/>
        <w:numPr>
          <w:ilvl w:val="0"/>
          <w:numId w:val="1008"/>
        </w:numPr>
      </w:pPr>
      <w:r>
        <w:t xml:space="preserve">Duplicación de políticas.</w:t>
      </w:r>
    </w:p>
    <w:p>
      <w:pPr>
        <w:pStyle w:val="Compact"/>
        <w:numPr>
          <w:ilvl w:val="0"/>
          <w:numId w:val="1008"/>
        </w:numPr>
      </w:pPr>
      <w:r>
        <w:t xml:space="preserve">Acoplamiento entre módulos.</w:t>
      </w:r>
    </w:p>
    <w:p>
      <w:pPr>
        <w:pStyle w:val="Compact"/>
        <w:numPr>
          <w:ilvl w:val="0"/>
          <w:numId w:val="1008"/>
        </w:numPr>
      </w:pPr>
      <w:r>
        <w:t xml:space="preserve">Falta de trazabilidad de autorizaciones.</w:t>
      </w:r>
    </w:p>
    <w:p>
      <w:pPr>
        <w:pStyle w:val="FirstParagraph"/>
      </w:pPr>
      <w:r>
        <w:t xml:space="preserve">La revisión arquitectónica verificará estos riesgos antes de aprobar nuevas funcionalidades.</w:t>
      </w:r>
    </w:p>
    <w:p>
      <w:r>
        <w:pict>
          <v:rect style="width:0;height:1.5pt" o:hralign="center" o:hrstd="t" o:hr="t"/>
        </w:pict>
      </w:r>
    </w:p>
    <w:bookmarkEnd w:id="39"/>
    <w:bookmarkStart w:id="40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09"/>
        </w:numPr>
      </w:pPr>
      <w:r>
        <w:t xml:space="preserve">Modelo RBAC + PBAC definido.</w:t>
      </w:r>
    </w:p>
    <w:p>
      <w:pPr>
        <w:pStyle w:val="Compact"/>
        <w:numPr>
          <w:ilvl w:val="0"/>
          <w:numId w:val="1009"/>
        </w:numPr>
      </w:pPr>
      <w:r>
        <w:t xml:space="preserve">Recursos identificados.</w:t>
      </w:r>
    </w:p>
    <w:p>
      <w:pPr>
        <w:pStyle w:val="Compact"/>
        <w:numPr>
          <w:ilvl w:val="0"/>
          <w:numId w:val="1009"/>
        </w:numPr>
      </w:pPr>
      <w:r>
        <w:t xml:space="preserve">Acciones estandarizadas.</w:t>
      </w:r>
    </w:p>
    <w:p>
      <w:pPr>
        <w:pStyle w:val="Compact"/>
        <w:numPr>
          <w:ilvl w:val="0"/>
          <w:numId w:val="1009"/>
        </w:numPr>
      </w:pPr>
      <w:r>
        <w:t xml:space="preserve">Políticas documentadas.</w:t>
      </w:r>
    </w:p>
    <w:p>
      <w:pPr>
        <w:pStyle w:val="Compact"/>
        <w:numPr>
          <w:ilvl w:val="0"/>
          <w:numId w:val="1009"/>
        </w:numPr>
      </w:pPr>
      <w:r>
        <w:t xml:space="preserve">Estrategia multi-tenant aprobada.</w:t>
      </w:r>
    </w:p>
    <w:p>
      <w:pPr>
        <w:pStyle w:val="Compact"/>
        <w:numPr>
          <w:ilvl w:val="0"/>
          <w:numId w:val="1009"/>
        </w:numPr>
      </w:pPr>
      <w:r>
        <w:t xml:space="preserve">Integración con Firebase definida.</w:t>
      </w:r>
    </w:p>
    <w:p>
      <w:pPr>
        <w:pStyle w:val="Compact"/>
        <w:numPr>
          <w:ilvl w:val="0"/>
          <w:numId w:val="1009"/>
        </w:numPr>
      </w:pPr>
      <w:r>
        <w:t xml:space="preserve">Principio de mínimo privilegio aplicado.</w:t>
      </w:r>
    </w:p>
    <w:p>
      <w:r>
        <w:pict>
          <v:rect style="width:0;height:1.5pt" o:hralign="center" o:hrstd="t" o:hr="t"/>
        </w:pict>
      </w:r>
    </w:p>
    <w:bookmarkEnd w:id="40"/>
    <w:bookmarkStart w:id="41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0"/>
        </w:numPr>
      </w:pPr>
      <w:r>
        <w:t xml:space="preserve">SEC001_SECURITY_ARCHITECTURE.md</w:t>
      </w:r>
    </w:p>
    <w:p>
      <w:pPr>
        <w:pStyle w:val="Compact"/>
        <w:numPr>
          <w:ilvl w:val="0"/>
          <w:numId w:val="1010"/>
        </w:numPr>
      </w:pPr>
      <w:r>
        <w:t xml:space="preserve">CORE001_PLATFORM_FOUNDATION_ARCHITECTURE.md</w:t>
      </w:r>
    </w:p>
    <w:p>
      <w:pPr>
        <w:pStyle w:val="Compact"/>
        <w:numPr>
          <w:ilvl w:val="0"/>
          <w:numId w:val="1010"/>
        </w:numPr>
      </w:pPr>
      <w:r>
        <w:t xml:space="preserve">DB001_FIRESTORE_DATABASE_ARCHITECTURE.md</w:t>
      </w:r>
    </w:p>
    <w:p>
      <w:pPr>
        <w:pStyle w:val="Compact"/>
        <w:numPr>
          <w:ilvl w:val="0"/>
          <w:numId w:val="1010"/>
        </w:numPr>
      </w:pPr>
      <w:r>
        <w:t xml:space="preserve">A001_SYSTEM_ARCHITECTURE.md</w:t>
      </w:r>
    </w:p>
    <w:p>
      <w:r>
        <w:pict>
          <v:rect style="width:0;height:1.5pt" o:hralign="center" o:hrstd="t" o:hr="t"/>
        </w:pict>
      </w:r>
    </w:p>
    <w:bookmarkEnd w:id="41"/>
    <w:bookmarkStart w:id="42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modelo oficial de autorización de la plataforma.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2026-06-30T16:56:00Z</dcterms:created>
  <dcterms:modified xsi:type="dcterms:W3CDTF">2026-06-30T16:56:00Z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