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BP001 — ENTERPRISE ARCHITECTURE BLUEPRINT v1.0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Consolidar en un único documento la arquitectura empresarial oficial de la plataforma y servir como referencia para toda la implementación.</w:t>
      </w:r>
    </w:p>
    <w:p>
      <w:pPr>
        <w:pStyle w:val="Heading3"/>
      </w:pPr>
      <w:r>
        <w:t>Visión</w:t>
      </w:r>
    </w:p>
    <w:p>
      <w:r>
        <w:t>Plataforma SaaS multi-tenant para skincare, CRM, reservas, e-commerce, IA y analítica, diseñada con Clean Architecture y DDD.</w:t>
      </w:r>
    </w:p>
    <w:p>
      <w:pPr>
        <w:pStyle w:val="Heading3"/>
      </w:pPr>
      <w:r>
        <w:t>Principios Arquitectónicos</w:t>
      </w:r>
    </w:p>
    <w:p>
      <w:r>
        <w:t>SOLID, Clean Code, DDD, Event Driven, API First, Security by Design, Observability by Design y Configuration as Code.</w:t>
      </w:r>
    </w:p>
    <w:p>
      <w:pPr>
        <w:pStyle w:val="Heading3"/>
      </w:pPr>
      <w:r>
        <w:t>Capas</w:t>
      </w:r>
    </w:p>
    <w:p>
      <w:r>
        <w:t>Presentation, Application, Domain, Infrastructure y Shared Core con separación estricta de responsabilidades.</w:t>
      </w:r>
    </w:p>
    <w:p>
      <w:pPr>
        <w:pStyle w:val="Heading3"/>
      </w:pPr>
      <w:r>
        <w:t>Dominios</w:t>
      </w:r>
    </w:p>
    <w:p>
      <w:r>
        <w:t>Se consolidan los 24 dominios definidos durante la Fase 1 como bounded contexts independientes.</w:t>
      </w:r>
    </w:p>
    <w:p>
      <w:pPr>
        <w:pStyle w:val="Heading3"/>
      </w:pPr>
      <w:r>
        <w:t>Tecnologías</w:t>
      </w:r>
    </w:p>
    <w:p>
      <w:r>
        <w:t>React, TypeScript, Vite, Tailwind CSS, Firebase Authentication, Firestore, Cloud Functions, Cloud Storage, Vercel, OpenAI y Google Gemini.</w:t>
      </w:r>
    </w:p>
    <w:p>
      <w:pPr>
        <w:pStyle w:val="Heading3"/>
      </w:pPr>
      <w:r>
        <w:t>Escalabilidad</w:t>
      </w:r>
    </w:p>
    <w:p>
      <w:r>
        <w:t>Arquitectura preparada para múltiples organizaciones, regiones, crecimiento horizontal y evolución SaaS.</w:t>
      </w:r>
    </w:p>
    <w:p>
      <w:pPr>
        <w:pStyle w:val="Heading3"/>
      </w:pPr>
      <w:r>
        <w:t>Seguridad</w:t>
      </w:r>
    </w:p>
    <w:p>
      <w:r>
        <w:t>Zero Trust, RBAC, auditoría, cifrado, Security Rules y validaciones backend obligatorias.</w:t>
      </w:r>
    </w:p>
    <w:p>
      <w:pPr>
        <w:pStyle w:val="Heading3"/>
      </w:pPr>
      <w:r>
        <w:t>Implementación</w:t>
      </w:r>
    </w:p>
    <w:p>
      <w:r>
        <w:t>Toda nueva funcionalidad deberá respetar este Blueprint como documento rector.</w:t>
      </w:r>
    </w:p>
    <w:p>
      <w:pPr>
        <w:pStyle w:val="Heading3"/>
      </w:pPr>
      <w:r>
        <w:t>Estado</w:t>
      </w:r>
    </w:p>
    <w:p>
      <w:r>
        <w:t>Aprobado como Blueprint Empresarial oficial de la plataforma.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