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BP002 — ENTERPRISE DOMAIN MAP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Consolidar el mapa oficial de dominios y bounded contexts de la plataforma.</w:t>
      </w:r>
    </w:p>
    <w:p>
      <w:pPr>
        <w:pStyle w:val="Heading3"/>
      </w:pPr>
      <w:r>
        <w:t>Dominios Core</w:t>
      </w:r>
    </w:p>
    <w:p>
      <w:r>
        <w:t>IAM, Organization, Configuration, Audit, Observability, Integration Hub y Notification Center.</w:t>
      </w:r>
    </w:p>
    <w:p>
      <w:pPr>
        <w:pStyle w:val="Heading3"/>
      </w:pPr>
      <w:r>
        <w:t>Dominios de Negocio</w:t>
      </w:r>
    </w:p>
    <w:p>
      <w:r>
        <w:t>CRM, Patients, Appointments, Clinical History, Treatments, Products, Inventory, Orders, Payments, Marketing y Analytics.</w:t>
      </w:r>
    </w:p>
    <w:p>
      <w:pPr>
        <w:pStyle w:val="Heading3"/>
      </w:pPr>
      <w:r>
        <w:t>Dominios de Plataforma</w:t>
      </w:r>
    </w:p>
    <w:p>
      <w:r>
        <w:t>Files, Communication, AI Platform, Reporting y demás servicios transversales.</w:t>
      </w:r>
    </w:p>
    <w:p>
      <w:pPr>
        <w:pStyle w:val="Heading3"/>
      </w:pPr>
      <w:r>
        <w:t>Dependencias</w:t>
      </w:r>
    </w:p>
    <w:p>
      <w:r>
        <w:t>Cada dominio interactúa mediante casos de uso, eventos y contratos; se evita el acceso directo entre infraestructuras.</w:t>
      </w:r>
    </w:p>
    <w:p>
      <w:pPr>
        <w:pStyle w:val="Heading3"/>
      </w:pPr>
      <w:r>
        <w:t>Reglas</w:t>
      </w:r>
    </w:p>
    <w:p>
      <w:r>
        <w:t>No compartir lógica de negocio entre dominios. Toda comunicación debe realizarse mediante interfaces, eventos o servicios de aplicación.</w:t>
      </w:r>
    </w:p>
    <w:p>
      <w:pPr>
        <w:pStyle w:val="Heading3"/>
      </w:pPr>
      <w:r>
        <w:t>Escalabilidad</w:t>
      </w:r>
    </w:p>
    <w:p>
      <w:r>
        <w:t>Cada dominio puede evolucionar y desplegarse de forma independiente manteniendo compatibilidad contractual.</w:t>
      </w:r>
    </w:p>
    <w:p>
      <w:pPr>
        <w:pStyle w:val="Heading3"/>
      </w:pPr>
      <w:r>
        <w:t>Estado</w:t>
      </w:r>
    </w:p>
    <w:p>
      <w:r>
        <w:t>Aprobado como Enterprise Domain Map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