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BP004 — ENTERPRISE DEPENDENCY MATRIX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matriz oficial de dependencias entre dominios y capas de la plataforma.</w:t>
      </w:r>
    </w:p>
    <w:p>
      <w:pPr>
        <w:pStyle w:val="Heading3"/>
      </w:pPr>
      <w:r>
        <w:t>Regla General</w:t>
      </w:r>
    </w:p>
    <w:p>
      <w:r>
        <w:t>Las dependencias siempre apuntan hacia el dominio propietario mediante interfaces y casos de uso; nunca hacia implementaciones concretas.</w:t>
      </w:r>
    </w:p>
    <w:p>
      <w:pPr>
        <w:pStyle w:val="Heading3"/>
      </w:pPr>
      <w:r>
        <w:t>Dependencias Core</w:t>
      </w:r>
    </w:p>
    <w:p>
      <w:r>
        <w:t>IAM, Organization y Configuration son consumidos por todos los dominios mediante contratos estables.</w:t>
      </w:r>
    </w:p>
    <w:p>
      <w:pPr>
        <w:pStyle w:val="Heading3"/>
      </w:pPr>
      <w:r>
        <w:t>Dependencias de Negocio</w:t>
      </w:r>
    </w:p>
    <w:p>
      <w:r>
        <w:t>Los dominios funcionales colaboran mediante eventos de dominio, servicios de aplicación y repositorios abstractos.</w:t>
      </w:r>
    </w:p>
    <w:p>
      <w:pPr>
        <w:pStyle w:val="Heading3"/>
      </w:pPr>
      <w:r>
        <w:t>Dependencias Externas</w:t>
      </w:r>
    </w:p>
    <w:p>
      <w:r>
        <w:t>Los proveedores externos se encapsulan en adaptadores de infraestructura para evitar acoplamiento.</w:t>
      </w:r>
    </w:p>
    <w:p>
      <w:pPr>
        <w:pStyle w:val="Heading3"/>
      </w:pPr>
      <w:r>
        <w:t>Dependencias Prohibidas</w:t>
      </w:r>
    </w:p>
    <w:p>
      <w:r>
        <w:t>No se permite acceso directo entre bases de datos, colecciones internas ni componentes UI de otros dominios.</w:t>
      </w:r>
    </w:p>
    <w:p>
      <w:pPr>
        <w:pStyle w:val="Heading3"/>
      </w:pPr>
      <w:r>
        <w:t>Gestión de Cambios</w:t>
      </w:r>
    </w:p>
    <w:p>
      <w:r>
        <w:t>Toda nueva dependencia deberá documentarse mediante ADR y revisión arquitectónica.</w:t>
      </w:r>
    </w:p>
    <w:p>
      <w:pPr>
        <w:pStyle w:val="Heading3"/>
      </w:pPr>
      <w:r>
        <w:t>Estado</w:t>
      </w:r>
    </w:p>
    <w:p>
      <w:r>
        <w:t>Aprobado como Enterprise Dependency Matrix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