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BP005 — ENTERPRISE EVENT CATALOG</w:t>
      </w:r>
    </w:p>
    <w:p>
      <w:r>
        <w:t>Versión: 1.0</w:t>
        <w:br/>
        <w:t>Estado: Aprobado</w:t>
        <w:br/>
        <w:t>Autor: Chief Software Architect</w:t>
      </w:r>
    </w:p>
    <w:p>
      <w:pPr>
        <w:pStyle w:val="Heading3"/>
      </w:pPr>
      <w:r>
        <w:t>Objetivo</w:t>
      </w:r>
    </w:p>
    <w:p>
      <w:r>
        <w:t>Consolidar el catálogo oficial de eventos de dominio de toda la plataforma.</w:t>
      </w:r>
    </w:p>
    <w:p>
      <w:pPr>
        <w:pStyle w:val="Heading3"/>
      </w:pPr>
      <w:r>
        <w:t>Convenciones</w:t>
      </w:r>
    </w:p>
    <w:p>
      <w:r>
        <w:t>Los eventos se nombran en pasado, son inmutables, versionados y contienen Correlation ID, Organization ID y Timestamp.</w:t>
      </w:r>
    </w:p>
    <w:p>
      <w:pPr>
        <w:pStyle w:val="Heading3"/>
      </w:pPr>
      <w:r>
        <w:t>Eventos Core</w:t>
      </w:r>
    </w:p>
    <w:p>
      <w:r>
        <w:t>UserCreated, RoleAssigned, OrganizationCreated, ConfigurationUpdated, AuditRecorded y AlertTriggered.</w:t>
      </w:r>
    </w:p>
    <w:p>
      <w:pPr>
        <w:pStyle w:val="Heading3"/>
      </w:pPr>
      <w:r>
        <w:t>Eventos Clínicos</w:t>
      </w:r>
    </w:p>
    <w:p>
      <w:r>
        <w:t>PatientCreated, AppointmentScheduled, TreatmentCompleted, ClinicalRecordUpdated.</w:t>
      </w:r>
    </w:p>
    <w:p>
      <w:pPr>
        <w:pStyle w:val="Heading3"/>
      </w:pPr>
      <w:r>
        <w:t>Eventos Comerciales</w:t>
      </w:r>
    </w:p>
    <w:p>
      <w:r>
        <w:t>ProductCreated, InventoryAdjusted, OrderPlaced, PaymentCompleted.</w:t>
      </w:r>
    </w:p>
    <w:p>
      <w:pPr>
        <w:pStyle w:val="Heading3"/>
      </w:pPr>
      <w:r>
        <w:t>Eventos Plataforma</w:t>
      </w:r>
    </w:p>
    <w:p>
      <w:r>
        <w:t>AssetUploaded, NotificationSent, AIRecommendationGenerated, IntegrationSyncCompleted.</w:t>
      </w:r>
    </w:p>
    <w:p>
      <w:pPr>
        <w:pStyle w:val="Heading3"/>
      </w:pPr>
      <w:r>
        <w:t>Publicación</w:t>
      </w:r>
    </w:p>
    <w:p>
      <w:r>
        <w:t>Los eventos se publican desde la capa de aplicación y son consumidos mediante contratos explícitos.</w:t>
      </w:r>
    </w:p>
    <w:p>
      <w:pPr>
        <w:pStyle w:val="Heading3"/>
      </w:pPr>
      <w:r>
        <w:t>Versionado</w:t>
      </w:r>
    </w:p>
    <w:p>
      <w:r>
        <w:t>Cambios incompatibles requieren nueva versión del evento manteniendo compatibilidad hacia atrás cuando sea posible.</w:t>
      </w:r>
    </w:p>
    <w:p>
      <w:pPr>
        <w:pStyle w:val="Heading3"/>
      </w:pPr>
      <w:r>
        <w:t>Estado</w:t>
      </w:r>
    </w:p>
    <w:p>
      <w:r>
        <w:t>Aprobado como Enterprise Event Catalog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