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BP008 — ENTERPRISE REPOSITORY BLUEPRINT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estructura oficial del repositorio y del monorepo para toda la plataforma.</w:t>
      </w:r>
    </w:p>
    <w:p>
      <w:pPr>
        <w:pStyle w:val="Heading3"/>
      </w:pPr>
      <w:r>
        <w:t>Estrategia</w:t>
      </w:r>
    </w:p>
    <w:p>
      <w:r>
        <w:t>Monorepo con módulos desacoplados, control de versiones unificado y despliegue continuo.</w:t>
      </w:r>
    </w:p>
    <w:p>
      <w:pPr>
        <w:pStyle w:val="Heading3"/>
      </w:pPr>
      <w:r>
        <w:t>Estructura</w:t>
      </w:r>
    </w:p>
    <w:p>
      <w:r>
        <w:t>apps/, packages/, functions/, infrastructure/, docs/, scripts/, .github/ y tooling compartido.</w:t>
      </w:r>
    </w:p>
    <w:p>
      <w:pPr>
        <w:pStyle w:val="Heading3"/>
      </w:pPr>
      <w:r>
        <w:t>Paquetes Compartidos</w:t>
      </w:r>
    </w:p>
    <w:p>
      <w:r>
        <w:t>shared, ui, design-system, config, types, utils y testing.</w:t>
      </w:r>
    </w:p>
    <w:p>
      <w:pPr>
        <w:pStyle w:val="Heading3"/>
      </w:pPr>
      <w:r>
        <w:t>Convenciones</w:t>
      </w:r>
    </w:p>
    <w:p>
      <w:r>
        <w:t>Clean Architecture, DDD, nombres consistentes, linting, formatting y revisión obligatoria.</w:t>
      </w:r>
    </w:p>
    <w:p>
      <w:pPr>
        <w:pStyle w:val="Heading3"/>
      </w:pPr>
      <w:r>
        <w:t>Dependencias</w:t>
      </w:r>
    </w:p>
    <w:p>
      <w:r>
        <w:t>Los paquetes consumen únicamente contratos públicos; se prohíben dependencias circulares.</w:t>
      </w:r>
    </w:p>
    <w:p>
      <w:pPr>
        <w:pStyle w:val="Heading3"/>
      </w:pPr>
      <w:r>
        <w:t>CI/CD</w:t>
      </w:r>
    </w:p>
    <w:p>
      <w:r>
        <w:t>Pipelines para calidad, pruebas, seguridad, build y despliegue automatizado.</w:t>
      </w:r>
    </w:p>
    <w:p>
      <w:pPr>
        <w:pStyle w:val="Heading3"/>
      </w:pPr>
      <w:r>
        <w:t>Gobernanza</w:t>
      </w:r>
    </w:p>
    <w:p>
      <w:r>
        <w:t>Todo cambio estructural requiere ADR y aprobación arquitectónica.</w:t>
      </w:r>
    </w:p>
    <w:p>
      <w:pPr>
        <w:pStyle w:val="Heading3"/>
      </w:pPr>
      <w:r>
        <w:t>Estado</w:t>
      </w:r>
    </w:p>
    <w:p>
      <w:r>
        <w:t>Aprobado como Enterprise Repository Blueprint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