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PATRICIAGUILLENVALER STUDIO PLATFORM</w:t>
      </w:r>
    </w:p>
    <w:p>
      <w:pPr>
        <w:pStyle w:val="Heading2"/>
      </w:pPr>
      <w:r>
        <w:t>BP011 — DESIGN SYSTEM MASTER SPECIFICATION</w:t>
      </w:r>
    </w:p>
    <w:p>
      <w:r>
        <w:t>Versión: 1.0</w:t>
        <w:br/>
        <w:t>Estado: Aprobado</w:t>
        <w:br/>
        <w:t>Autor: Chief Software Architect</w:t>
      </w:r>
    </w:p>
    <w:p>
      <w:pPr>
        <w:pStyle w:val="Heading3"/>
      </w:pPr>
      <w:r>
        <w:t>Objetivo</w:t>
      </w:r>
    </w:p>
    <w:p>
      <w:r>
        <w:t>Definir la especificación maestra del Design System para garantizar consistencia visual y reutilización.</w:t>
      </w:r>
    </w:p>
    <w:p>
      <w:pPr>
        <w:pStyle w:val="Heading3"/>
      </w:pPr>
      <w:r>
        <w:t>Principios</w:t>
      </w:r>
    </w:p>
    <w:p>
      <w:r>
        <w:t>Mobile First, accesibilidad WCAG, componentes reutilizables, design tokens y atomic design.</w:t>
      </w:r>
    </w:p>
    <w:p>
      <w:pPr>
        <w:pStyle w:val="Heading3"/>
      </w:pPr>
      <w:r>
        <w:t>Tokens</w:t>
      </w:r>
    </w:p>
    <w:p>
      <w:r>
        <w:t>Colores, tipografía, espaciado, radios, sombras, elevaciones y breakpoints centralizados.</w:t>
      </w:r>
    </w:p>
    <w:p>
      <w:pPr>
        <w:pStyle w:val="Heading3"/>
      </w:pPr>
      <w:r>
        <w:t>Componentes</w:t>
      </w:r>
    </w:p>
    <w:p>
      <w:r>
        <w:t>Botones, inputs, tablas, tarjetas, modales, formularios, navegación, feedback y layouts.</w:t>
      </w:r>
    </w:p>
    <w:p>
      <w:pPr>
        <w:pStyle w:val="Heading3"/>
      </w:pPr>
      <w:r>
        <w:t>Accesibilidad</w:t>
      </w:r>
    </w:p>
    <w:p>
      <w:r>
        <w:t>Contraste, navegación por teclado, foco visible, etiquetas semánticas y soporte para lectores de pantalla.</w:t>
      </w:r>
    </w:p>
    <w:p>
      <w:pPr>
        <w:pStyle w:val="Heading3"/>
      </w:pPr>
      <w:r>
        <w:t>Temas</w:t>
      </w:r>
    </w:p>
    <w:p>
      <w:r>
        <w:t>Soporte para tema claro/oscuro y branding por organización.</w:t>
      </w:r>
    </w:p>
    <w:p>
      <w:pPr>
        <w:pStyle w:val="Heading3"/>
      </w:pPr>
      <w:r>
        <w:t>Gobernanza</w:t>
      </w:r>
    </w:p>
    <w:p>
      <w:r>
        <w:t>Todo componente nuevo requiere documentación, pruebas visuales y revisión arquitectónica.</w:t>
      </w:r>
    </w:p>
    <w:p>
      <w:pPr>
        <w:pStyle w:val="Heading3"/>
      </w:pPr>
      <w:r>
        <w:t>Estado</w:t>
      </w:r>
    </w:p>
    <w:p>
      <w:r>
        <w:t>Aprobado como Design System Master Specification oficial.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