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CFG001 — PLATFORM CONFIGURATION &amp; SETTINGS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Platform Configuration &amp; Settings para administrar la configuración global y por organización.</w:t>
      </w:r>
    </w:p>
    <w:p>
      <w:pPr>
        <w:pStyle w:val="Heading3"/>
      </w:pPr>
      <w:r>
        <w:t>Alcance</w:t>
      </w:r>
    </w:p>
    <w:p>
      <w:r>
        <w:t>Configuración global, configuración por tenant, feature flags, branding, localización, integraciones y parámetros operativos.</w:t>
      </w:r>
    </w:p>
    <w:p>
      <w:pPr>
        <w:pStyle w:val="Heading3"/>
      </w:pPr>
      <w:r>
        <w:t>Principios</w:t>
      </w:r>
    </w:p>
    <w:p>
      <w:r>
        <w:t>Multi-Tenant, Configuration as Code, desacoplado, auditable, escalable y orientado a Clean Architecture.</w:t>
      </w:r>
    </w:p>
    <w:p>
      <w:pPr>
        <w:pStyle w:val="Heading3"/>
      </w:pPr>
      <w:r>
        <w:t>Aggregate Root</w:t>
      </w:r>
    </w:p>
    <w:p>
      <w:r>
        <w:t>ConfigurationWorkspace con PlatformSetting, TenantSetting, FeatureFlag, BrandingProfile e IntegrationSetting.</w:t>
      </w:r>
    </w:p>
    <w:p>
      <w:pPr>
        <w:pStyle w:val="Heading3"/>
      </w:pPr>
      <w:r>
        <w:t>Responsabilidades</w:t>
      </w:r>
    </w:p>
    <w:p>
      <w:r>
        <w:t>Centralizar la configuración de la plataforma sin incorporar lógica de negocio de otros dominios.</w:t>
      </w:r>
    </w:p>
    <w:p>
      <w:pPr>
        <w:pStyle w:val="Heading3"/>
      </w:pPr>
      <w:r>
        <w:t>No Incluye</w:t>
      </w:r>
    </w:p>
    <w:p>
      <w:r>
        <w:t>La ejecución funcional de otros dominios; únicamente expone servicios de configuración.</w:t>
      </w:r>
    </w:p>
    <w:p>
      <w:pPr>
        <w:pStyle w:val="Heading3"/>
      </w:pPr>
      <w:r>
        <w:t>Integraciones</w:t>
      </w:r>
    </w:p>
    <w:p>
      <w:r>
        <w:t>IAM, Organization, Communication Platform, Analytics, AI Platform, Firebase y todos los dominios funcionales.</w:t>
      </w:r>
    </w:p>
    <w:p>
      <w:pPr>
        <w:pStyle w:val="Heading3"/>
      </w:pPr>
      <w:r>
        <w:t>Eventos</w:t>
      </w:r>
    </w:p>
    <w:p>
      <w:r>
        <w:t>ConfigurationUpdated, FeatureFlagChanged, BrandingUpdated, IntegrationConfigured y LocalizationChanged.</w:t>
      </w:r>
    </w:p>
    <w:p>
      <w:pPr>
        <w:pStyle w:val="Heading3"/>
      </w:pPr>
      <w:r>
        <w:t>Seguridad</w:t>
      </w:r>
    </w:p>
    <w:p>
      <w:r>
        <w:t>Control por roles, auditoría, versionado de configuraciones y aislamiento por organización.</w:t>
      </w:r>
    </w:p>
    <w:p>
      <w:pPr>
        <w:pStyle w:val="Heading3"/>
      </w:pPr>
      <w:r>
        <w:t>Escalabilidad</w:t>
      </w:r>
    </w:p>
    <w:p>
      <w:r>
        <w:t>Preparado para múltiples entornos, SaaS, despliegues regionales y evolución sin cambios de código.</w:t>
      </w:r>
    </w:p>
    <w:p>
      <w:pPr>
        <w:pStyle w:val="Heading3"/>
      </w:pPr>
      <w:r>
        <w:t>Checklist</w:t>
      </w:r>
    </w:p>
    <w:p>
      <w:r>
        <w:t>Aggregate Root definido, responsabilidades delimitadas, integraciones documentadas, eventos identificados y escalabilidad validada.</w:t>
      </w:r>
    </w:p>
    <w:p>
      <w:pPr>
        <w:pStyle w:val="Heading3"/>
      </w:pPr>
      <w:r>
        <w:t>Estado</w:t>
      </w:r>
    </w:p>
    <w:p>
      <w:r>
        <w:t>Aprobado como arquitectura oficial del dominio Platform Configuration &amp;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