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CFG004 — PLATFORM CONFIGURATION &amp; SETTINGS UI ARCHITECTURE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arquitectura de la interfaz del dominio Platform Configuration &amp; Settings mediante un Configuration Workspace modular.</w:t>
      </w:r>
    </w:p>
    <w:p>
      <w:pPr>
        <w:pStyle w:val="Heading3"/>
      </w:pPr>
      <w:r>
        <w:t>Alcance</w:t>
      </w:r>
    </w:p>
    <w:p>
      <w:r>
        <w:t>Configuración global, tenant, branding, feature flags, localización e integraciones.</w:t>
      </w:r>
    </w:p>
    <w:p>
      <w:pPr>
        <w:pStyle w:val="Heading3"/>
      </w:pPr>
      <w:r>
        <w:t>Principios</w:t>
      </w:r>
    </w:p>
    <w:p>
      <w:r>
        <w:t>Responsive, accesible, reutilizable, desacoplado y alineado con el Design System.</w:t>
      </w:r>
    </w:p>
    <w:p>
      <w:pPr>
        <w:pStyle w:val="Heading3"/>
      </w:pPr>
      <w:r>
        <w:t>Workspace</w:t>
      </w:r>
    </w:p>
    <w:p>
      <w:r>
        <w:t>Header, Navigation, Settings Explorer, Feature Flag Center, Branding Studio, Integration Center y Quick Actions.</w:t>
      </w:r>
    </w:p>
    <w:p>
      <w:pPr>
        <w:pStyle w:val="Heading3"/>
      </w:pPr>
      <w:r>
        <w:t>Componentes</w:t>
      </w:r>
    </w:p>
    <w:p>
      <w:r>
        <w:t>ConfigurationWorkspace, SettingsEditor, FeatureFlagTable, BrandingEditor, LocalizationPanel, IntegrationManager, SearchBar y AuditTimeline.</w:t>
      </w:r>
    </w:p>
    <w:p>
      <w:pPr>
        <w:pStyle w:val="Heading3"/>
      </w:pPr>
      <w:r>
        <w:t>Estados</w:t>
      </w:r>
    </w:p>
    <w:p>
      <w:r>
        <w:t>Carga, vacío, error, sin resultados y sin permisos.</w:t>
      </w:r>
    </w:p>
    <w:p>
      <w:pPr>
        <w:pStyle w:val="Heading3"/>
      </w:pPr>
      <w:r>
        <w:t>Integraciones</w:t>
      </w:r>
    </w:p>
    <w:p>
      <w:r>
        <w:t>Organization, IAM, Firebase, Analytics, AI Platform y Communication Platform.</w:t>
      </w:r>
    </w:p>
    <w:p>
      <w:pPr>
        <w:pStyle w:val="Heading3"/>
      </w:pPr>
      <w:r>
        <w:t>Accesibilidad</w:t>
      </w:r>
    </w:p>
    <w:p>
      <w:r>
        <w:t>Navegación por teclado, etiquetas semánticas, foco visible y compatibilidad con lectores de pantalla.</w:t>
      </w:r>
    </w:p>
    <w:p>
      <w:pPr>
        <w:pStyle w:val="Heading3"/>
      </w:pPr>
      <w:r>
        <w:t>Rendimiento</w:t>
      </w:r>
    </w:p>
    <w:p>
      <w:r>
        <w:t>Carga diferida, paginación, virtualización y actualización incremental.</w:t>
      </w:r>
    </w:p>
    <w:p>
      <w:pPr>
        <w:pStyle w:val="Heading3"/>
      </w:pPr>
      <w:r>
        <w:t>Checklist</w:t>
      </w:r>
    </w:p>
    <w:p>
      <w:r>
        <w:t>Workspace definido, componentes identificados, accesibilidad e integraciones documentadas.</w:t>
      </w:r>
    </w:p>
    <w:p>
      <w:pPr>
        <w:pStyle w:val="Heading3"/>
      </w:pPr>
      <w:r>
        <w:t>Estado</w:t>
      </w:r>
    </w:p>
    <w:p>
      <w:r>
        <w:t>Aprobado como arquitectura oficial de la interfaz del dominio Platform Configuration &amp; Settings.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