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CLINICAL002 — CLINICAL HISTORY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Clinical History como fuente única del expediente clínico del paciente.</w:t>
      </w:r>
    </w:p>
    <w:p>
      <w:pPr>
        <w:pStyle w:val="Heading3"/>
      </w:pPr>
      <w:r>
        <w:t>Arquitectura</w:t>
      </w:r>
    </w:p>
    <w:p>
      <w:r>
        <w:t>organizations/{organizationId}/clinicalHistories/{clinicalHistoryId}</w:t>
      </w:r>
    </w:p>
    <w:p>
      <w:pPr>
        <w:pStyle w:val="Heading3"/>
      </w:pPr>
      <w:r>
        <w:t>Aggregate Root</w:t>
      </w:r>
    </w:p>
    <w:p>
      <w:r>
        <w:t>ClinicalHistory identificado por organizationId y customerId.</w:t>
      </w:r>
    </w:p>
    <w:p>
      <w:pPr>
        <w:pStyle w:val="Heading3"/>
      </w:pPr>
      <w:r>
        <w:t>Identificación</w:t>
      </w:r>
    </w:p>
    <w:p>
      <w:r>
        <w:t>id, organizationId, customerId, clinicalRecordNumber y status.</w:t>
      </w:r>
    </w:p>
    <w:p>
      <w:pPr>
        <w:pStyle w:val="Heading3"/>
      </w:pPr>
      <w:r>
        <w:t>Antecedentes</w:t>
      </w:r>
    </w:p>
    <w:p>
      <w:r>
        <w:t>Información médica, alergias, medicamentos, condiciones relevantes y hábitos.</w:t>
      </w:r>
    </w:p>
    <w:p>
      <w:pPr>
        <w:pStyle w:val="Heading3"/>
      </w:pPr>
      <w:r>
        <w:t>Evaluaciones</w:t>
      </w:r>
    </w:p>
    <w:p>
      <w:r>
        <w:t>Evaluaciones iniciales y de seguimiento con fecha, especialista y observaciones.</w:t>
      </w:r>
    </w:p>
    <w:p>
      <w:pPr>
        <w:pStyle w:val="Heading3"/>
      </w:pPr>
      <w:r>
        <w:t>Tratamientos Registrados</w:t>
      </w:r>
    </w:p>
    <w:p>
      <w:r>
        <w:t>Referencias a citas, tratamientos, especialista, recursos utilizados y resultados.</w:t>
      </w:r>
    </w:p>
    <w:p>
      <w:pPr>
        <w:pStyle w:val="Heading3"/>
      </w:pPr>
      <w:r>
        <w:t>Notas de Evolución</w:t>
      </w:r>
    </w:p>
    <w:p>
      <w:r>
        <w:t>Registro cronológico de observaciones clínicas.</w:t>
      </w:r>
    </w:p>
    <w:p>
      <w:pPr>
        <w:pStyle w:val="Heading3"/>
      </w:pPr>
      <w:r>
        <w:t>Documentos Asociados</w:t>
      </w:r>
    </w:p>
    <w:p>
      <w:r>
        <w:t>Referencias a documentId del dominio Document Management.</w:t>
      </w:r>
    </w:p>
    <w:p>
      <w:pPr>
        <w:pStyle w:val="Heading3"/>
      </w:pPr>
      <w:r>
        <w:t>Auditoría</w:t>
      </w:r>
    </w:p>
    <w:p>
      <w:r>
        <w:t>createdAt, createdBy, updatedAt, updatedBy y archivedAt.</w:t>
      </w:r>
    </w:p>
    <w:p>
      <w:pPr>
        <w:pStyle w:val="Heading3"/>
      </w:pPr>
      <w:r>
        <w:t>Subcolecciones</w:t>
      </w:r>
    </w:p>
    <w:p>
      <w:r>
        <w:t>assessments, progressNotes, treatmentRecords, attachments, audit y timeline.</w:t>
      </w:r>
    </w:p>
    <w:p>
      <w:pPr>
        <w:pStyle w:val="Heading3"/>
      </w:pPr>
      <w:r>
        <w:t>Índices</w:t>
      </w:r>
    </w:p>
    <w:p>
      <w:r>
        <w:t>customerId+status, organizationId+customerId, status+updatedAt.</w:t>
      </w:r>
    </w:p>
    <w:p>
      <w:pPr>
        <w:pStyle w:val="Heading3"/>
      </w:pPr>
      <w:r>
        <w:t>Integraciones</w:t>
      </w:r>
    </w:p>
    <w:p>
      <w:r>
        <w:t>Customers, Appointments, Treatments, Specialists, Resources y Document Management.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