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Clinical History.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organizations/{organizationId}/clinicalHistories/{clinicalHistoryId}</w:t>
      </w:r>
    </w:p>
    <w:p>
      <w:pPr>
        <w:pStyle w:val="Heading3"/>
      </w:pPr>
      <w:r>
        <w:t>Lecturas</w:t>
      </w:r>
    </w:p>
    <w:p>
      <w:r>
        <w:t>Permitidas únicamente a usuarios autenticados con permisos clínicos y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autorizadas.</w:t>
      </w:r>
    </w:p>
    <w:p>
      <w:pPr>
        <w:pStyle w:val="Heading3"/>
      </w:pPr>
      <w:r>
        <w:t>Campos Protegidos</w:t>
      </w:r>
    </w:p>
    <w:p>
      <w:r>
        <w:t>id, organizationId, customerId, createdAt, createdBy, updatedAt, updatedBy y archivedAt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clínicos e integridad de la ruta. No implementar lógica de negocio en las reglas.</w:t>
      </w:r>
    </w:p>
    <w:p>
      <w:pPr>
        <w:pStyle w:val="Heading3"/>
      </w:pPr>
      <w:r>
        <w:t>Subcolecciones</w:t>
      </w:r>
    </w:p>
    <w:p>
      <w:r>
        <w:t>assessments, progressNotes, treatmentRecords, attachments, audit y timeline heredarán el contexto de seguridad.</w:t>
      </w:r>
    </w:p>
    <w:p>
      <w:pPr>
        <w:pStyle w:val="Heading3"/>
      </w:pPr>
      <w:r>
        <w:t>Documentos</w:t>
      </w:r>
    </w:p>
    <w:p>
      <w:r>
        <w:t>El acceso a documentos asociados dependerá del dominio Document Management y de las mismas políticas de autorización clínica.</w:t>
      </w:r>
    </w:p>
    <w:p>
      <w:pPr>
        <w:pStyle w:val="Heading3"/>
      </w:pPr>
      <w:r>
        <w:t>Eliminación</w:t>
      </w:r>
    </w:p>
    <w:p>
      <w:r>
        <w:t>No se permitirá eliminación física desde el cliente; solo archivado conforme a políticas de retención.</w:t>
      </w:r>
    </w:p>
    <w:p>
      <w:pPr>
        <w:pStyle w:val="Heading3"/>
      </w:pPr>
      <w:r>
        <w:t>Pruebas</w:t>
      </w:r>
    </w:p>
    <w:p>
      <w:r>
        <w:t>Validar accesos permitidos, denegados, aislamiento multi-tenant y protección de campos críticos usando Firebase Emulator Suite.</w:t>
      </w:r>
    </w:p>
    <w:p>
      <w:pPr>
        <w:pStyle w:val="Heading3"/>
      </w:pPr>
      <w:r>
        <w:t>Riesgos</w:t>
      </w:r>
    </w:p>
    <w:p>
      <w:r>
        <w:t>Acceso no autorizado a información clínica, reglas permisivas, fuga entre organizaciones y duplicación de validaciones.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