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CRM004 — CUSTOMER RELATIONSHIP MANAGEMENT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CRM mediante un CRM Workspace modular y reutilizable.</w:t>
      </w:r>
    </w:p>
    <w:p>
      <w:pPr>
        <w:pStyle w:val="Heading3"/>
      </w:pPr>
      <w:r>
        <w:t>Alcance</w:t>
      </w:r>
    </w:p>
    <w:p>
      <w:r>
        <w:t>Gestión de leads, oportunidades, actividades, tareas, segmentación, fidelización y vista 360° del cliente.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Toolbar, Search, Filters, Kanban Pipeline, Customer 360 Panel, Activity Timeline y Quick Actions.</w:t>
      </w:r>
    </w:p>
    <w:p>
      <w:pPr>
        <w:pStyle w:val="Heading3"/>
      </w:pPr>
      <w:r>
        <w:t>Pipeline Comercial</w:t>
      </w:r>
    </w:p>
    <w:p>
      <w:r>
        <w:t>Visualizar oportunidades por etapa con soporte para drag &amp; drop y métricas.</w:t>
      </w:r>
    </w:p>
    <w:p>
      <w:pPr>
        <w:pStyle w:val="Heading3"/>
      </w:pPr>
      <w:r>
        <w:t>Vista 360°</w:t>
      </w:r>
    </w:p>
    <w:p>
      <w:r>
        <w:t>Consolidar datos de clientes, citas, tratamientos, órdenes, pagos y comunicaciones.</w:t>
      </w:r>
    </w:p>
    <w:p>
      <w:pPr>
        <w:pStyle w:val="Heading3"/>
      </w:pPr>
      <w:r>
        <w:t>Actividades</w:t>
      </w:r>
    </w:p>
    <w:p>
      <w:r>
        <w:t>Registrar llamadas, correos, reuniones, tareas y recordatorios.</w:t>
      </w:r>
    </w:p>
    <w:p>
      <w:pPr>
        <w:pStyle w:val="Heading3"/>
      </w:pPr>
      <w:r>
        <w:t>Componentes</w:t>
      </w:r>
    </w:p>
    <w:p>
      <w:r>
        <w:t>CRMWorkspace, LeadBoard, OpportunityPanel, Customer360View, ActivityTimeline, LoyaltyCard, CRMFilters y SearchBar.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Customers, Appointments, Orders, Payments, Marketing, Analytics, AI y Communication Platform.</w:t>
      </w:r>
    </w:p>
    <w:p>
      <w:pPr>
        <w:pStyle w:val="Heading3"/>
      </w:pPr>
      <w:r>
        <w:t>Accesibilidad</w:t>
      </w:r>
    </w:p>
    <w:p>
      <w:r>
        <w:t>Navegación por teclado, foco visible, etiquetas semánticas y compatibilidad con lectores de pantalla.</w:t>
      </w:r>
    </w:p>
    <w:p>
      <w:pPr>
        <w:pStyle w:val="Heading3"/>
      </w:pPr>
      <w:r>
        <w:t>Rendimiento</w:t>
      </w:r>
    </w:p>
    <w:p>
      <w:r>
        <w:t>Paginación, virtualización, carga diferida y actualización eficiente del pipeline.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