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CRM006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CRM.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organizations/{organizationId}/crm/{customerProfileId}</w:t>
      </w:r>
    </w:p>
    <w:p>
      <w:pPr>
        <w:pStyle w:val="Heading3"/>
      </w:pPr>
      <w:r>
        <w:t>Lecturas</w:t>
      </w:r>
    </w:p>
    <w:p>
      <w:r>
        <w:t>Permitidas únicamente a usuarios autenticados con el permiso crm.read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autorizadas; el cliente no escribirá directamente.</w:t>
      </w:r>
    </w:p>
    <w:p>
      <w:pPr>
        <w:pStyle w:val="Heading3"/>
      </w:pPr>
      <w:r>
        <w:t>Campos Protegidos</w:t>
      </w:r>
    </w:p>
    <w:p>
      <w:r>
        <w:t>id, organizationId, customerId, leadNumber, createdAt, createdBy, updatedAt, updatedBy y archivedAt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pertenencia de los datos. La lógica de negocio residirá en el backend.</w:t>
      </w:r>
    </w:p>
    <w:p>
      <w:pPr>
        <w:pStyle w:val="Heading3"/>
      </w:pPr>
      <w:r>
        <w:t>Subcolecciones</w:t>
      </w:r>
    </w:p>
    <w:p>
      <w:r>
        <w:t>activities, notes, tasks, timeline, audit y attachments heredarán el contexto de seguridad del perfil CRM.</w:t>
      </w:r>
    </w:p>
    <w:p>
      <w:pPr>
        <w:pStyle w:val="Heading3"/>
      </w:pPr>
      <w:r>
        <w:t>Privacidad</w:t>
      </w:r>
    </w:p>
    <w:p>
      <w:r>
        <w:t>La información comercial y de fidelización solo será accesible para roles autorizados conforme al principio de mínimo privilegio.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campos críticos mediante Firebase Emulator Suite.</w:t>
      </w:r>
    </w:p>
    <w:p>
      <w:pPr>
        <w:pStyle w:val="Heading3"/>
      </w:pPr>
      <w:r>
        <w:t>Riesgos</w:t>
      </w:r>
    </w:p>
    <w:p>
      <w:r>
        <w:t>Fuga de información entre organizaciones, escalamiento de privilegios, modificación directa del pipeline comercial y reglas permisivas.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