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11-caching-strategy"/>
    <w:p>
      <w:pPr>
        <w:pStyle w:val="Heading1"/>
      </w:pPr>
      <w:r>
        <w:t xml:space="preserve">A011 — CACHING STRATEGY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de caché para la plataforma.</w:t>
      </w:r>
    </w:p>
    <w:p>
      <w:pPr>
        <w:pStyle w:val="BodyText"/>
      </w:pPr>
      <w:r>
        <w:t xml:space="preserve">El objetivo es mejorar el rendimiento sin comprometer la consistencia de los datos ni introducir comportamientos impredecibles.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Frontend.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Firestore.</w:t>
      </w:r>
    </w:p>
    <w:p>
      <w:pPr>
        <w:pStyle w:val="Compact"/>
        <w:numPr>
          <w:ilvl w:val="0"/>
          <w:numId w:val="1001"/>
        </w:numPr>
      </w:pPr>
      <w:r>
        <w:t xml:space="preserve">Analytics.</w:t>
      </w:r>
    </w:p>
    <w:p>
      <w:pPr>
        <w:pStyle w:val="Compact"/>
        <w:numPr>
          <w:ilvl w:val="0"/>
          <w:numId w:val="1001"/>
        </w:numPr>
      </w:pPr>
      <w:r>
        <w:t xml:space="preserve">IA.</w:t>
      </w:r>
    </w:p>
    <w:p>
      <w:pPr>
        <w:pStyle w:val="Compact"/>
        <w:numPr>
          <w:ilvl w:val="0"/>
          <w:numId w:val="1001"/>
        </w:numPr>
      </w:pPr>
      <w:r>
        <w:t xml:space="preserve">Todos los dominios funcionales.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caché deberá ser:</w:t>
      </w:r>
    </w:p>
    <w:p>
      <w:pPr>
        <w:pStyle w:val="Compact"/>
        <w:numPr>
          <w:ilvl w:val="0"/>
          <w:numId w:val="1002"/>
        </w:numPr>
      </w:pPr>
      <w:r>
        <w:t xml:space="preserve">Transparente.</w:t>
      </w:r>
    </w:p>
    <w:p>
      <w:pPr>
        <w:pStyle w:val="Compact"/>
        <w:numPr>
          <w:ilvl w:val="0"/>
          <w:numId w:val="1002"/>
        </w:numPr>
      </w:pPr>
      <w:r>
        <w:t xml:space="preserve">Invalidable.</w:t>
      </w:r>
    </w:p>
    <w:p>
      <w:pPr>
        <w:pStyle w:val="Compact"/>
        <w:numPr>
          <w:ilvl w:val="0"/>
          <w:numId w:val="1002"/>
        </w:numPr>
      </w:pPr>
      <w:r>
        <w:t xml:space="preserve">Determinista.</w:t>
      </w:r>
    </w:p>
    <w:p>
      <w:pPr>
        <w:pStyle w:val="Compact"/>
        <w:numPr>
          <w:ilvl w:val="0"/>
          <w:numId w:val="1002"/>
        </w:numPr>
      </w:pPr>
      <w:r>
        <w:t xml:space="preserve">Observable.</w:t>
      </w:r>
    </w:p>
    <w:p>
      <w:pPr>
        <w:pStyle w:val="Compact"/>
        <w:numPr>
          <w:ilvl w:val="0"/>
          <w:numId w:val="1002"/>
        </w:numPr>
      </w:pPr>
      <w:r>
        <w:t xml:space="preserve">Configurable.</w:t>
      </w:r>
    </w:p>
    <w:p>
      <w:pPr>
        <w:pStyle w:val="FirstParagraph"/>
      </w:pPr>
      <w:r>
        <w:t xml:space="preserve">Nunca será la fuente de verdad.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rPr>
          <w:rStyle w:val="VerbatimChar"/>
        </w:rPr>
        <w:t xml:space="preserve">text id="cache-levels" Usuario     │     ▼ TanStack Query Cache     │     ▼ Cloud Functions     │     ▼ Firestore SDK Cache     │     ▼ Firestore</w:t>
      </w:r>
    </w:p>
    <w:p>
      <w:pPr>
        <w:pStyle w:val="BodyText"/>
      </w:pPr>
      <w:r>
        <w:t xml:space="preserve">La fuente de verdad será siempre Firestore.</w:t>
      </w:r>
    </w:p>
    <w:p>
      <w:r>
        <w:pict>
          <v:rect style="width:0;height:1.5pt" o:hralign="center" o:hrstd="t" o:hr="t"/>
        </w:pict>
      </w:r>
    </w:p>
    <w:bookmarkEnd w:id="25"/>
    <w:bookmarkStart w:id="26" w:name="nivel-1-cliente"/>
    <w:p>
      <w:pPr>
        <w:pStyle w:val="Heading1"/>
      </w:pPr>
      <w:r>
        <w:t xml:space="preserve">Nivel 1 — Cliente</w:t>
      </w:r>
    </w:p>
    <w:p>
      <w:pPr>
        <w:pStyle w:val="FirstParagraph"/>
      </w:pPr>
      <w:r>
        <w:t xml:space="preserve">Responsable:</w:t>
      </w:r>
    </w:p>
    <w:p>
      <w:pPr>
        <w:pStyle w:val="BodyText"/>
      </w:pPr>
      <w:r>
        <w:t xml:space="preserve">TanStack Query.</w:t>
      </w:r>
    </w:p>
    <w:p>
      <w:pPr>
        <w:pStyle w:val="BodyText"/>
      </w:pPr>
      <w:r>
        <w:t xml:space="preserve">Se utilizará para:</w:t>
      </w:r>
    </w:p>
    <w:p>
      <w:pPr>
        <w:pStyle w:val="Compact"/>
        <w:numPr>
          <w:ilvl w:val="0"/>
          <w:numId w:val="1003"/>
        </w:numPr>
      </w:pPr>
      <w:r>
        <w:t xml:space="preserve">Listados.</w:t>
      </w:r>
    </w:p>
    <w:p>
      <w:pPr>
        <w:pStyle w:val="Compact"/>
        <w:numPr>
          <w:ilvl w:val="0"/>
          <w:numId w:val="1003"/>
        </w:numPr>
      </w:pPr>
      <w:r>
        <w:t xml:space="preserve">Consultas frecuentes.</w:t>
      </w:r>
    </w:p>
    <w:p>
      <w:pPr>
        <w:pStyle w:val="Compact"/>
        <w:numPr>
          <w:ilvl w:val="0"/>
          <w:numId w:val="1003"/>
        </w:numPr>
      </w:pPr>
      <w:r>
        <w:t xml:space="preserve">Catálogos.</w:t>
      </w:r>
    </w:p>
    <w:p>
      <w:pPr>
        <w:pStyle w:val="Compact"/>
        <w:numPr>
          <w:ilvl w:val="0"/>
          <w:numId w:val="1003"/>
        </w:numPr>
      </w:pPr>
      <w:r>
        <w:t xml:space="preserve">Preferencias.</w:t>
      </w:r>
    </w:p>
    <w:p>
      <w:pPr>
        <w:pStyle w:val="Compact"/>
        <w:numPr>
          <w:ilvl w:val="0"/>
          <w:numId w:val="1003"/>
        </w:numPr>
      </w:pPr>
      <w:r>
        <w:t xml:space="preserve">Datos de solo lectura.</w:t>
      </w:r>
    </w:p>
    <w:p>
      <w:r>
        <w:pict>
          <v:rect style="width:0;height:1.5pt" o:hralign="center" o:hrstd="t" o:hr="t"/>
        </w:pict>
      </w:r>
    </w:p>
    <w:bookmarkEnd w:id="26"/>
    <w:bookmarkStart w:id="27" w:name="nivel-2-backend"/>
    <w:p>
      <w:pPr>
        <w:pStyle w:val="Heading1"/>
      </w:pPr>
      <w:r>
        <w:t xml:space="preserve">Nivel 2 — Backend</w:t>
      </w:r>
    </w:p>
    <w:p>
      <w:pPr>
        <w:pStyle w:val="FirstParagraph"/>
      </w:pPr>
      <w:r>
        <w:t xml:space="preserve">Cloud Functions podrá reutilizar resultados cuando:</w:t>
      </w:r>
    </w:p>
    <w:p>
      <w:pPr>
        <w:pStyle w:val="Compact"/>
        <w:numPr>
          <w:ilvl w:val="0"/>
          <w:numId w:val="1004"/>
        </w:numPr>
      </w:pPr>
      <w:r>
        <w:t xml:space="preserve">El cálculo sea costoso.</w:t>
      </w:r>
    </w:p>
    <w:p>
      <w:pPr>
        <w:pStyle w:val="Compact"/>
        <w:numPr>
          <w:ilvl w:val="0"/>
          <w:numId w:val="1004"/>
        </w:numPr>
      </w:pPr>
      <w:r>
        <w:t xml:space="preserve">El resultado no cambie constantemente.</w:t>
      </w:r>
    </w:p>
    <w:p>
      <w:pPr>
        <w:pStyle w:val="Compact"/>
        <w:numPr>
          <w:ilvl w:val="0"/>
          <w:numId w:val="1004"/>
        </w:numPr>
      </w:pPr>
      <w:r>
        <w:t xml:space="preserve">Exista un beneficio claro de rendimiento.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Estadísticas agregadas.</w:t>
      </w:r>
    </w:p>
    <w:p>
      <w:pPr>
        <w:pStyle w:val="Compact"/>
        <w:numPr>
          <w:ilvl w:val="0"/>
          <w:numId w:val="1005"/>
        </w:numPr>
      </w:pPr>
      <w:r>
        <w:t xml:space="preserve">Informes.</w:t>
      </w:r>
    </w:p>
    <w:p>
      <w:pPr>
        <w:pStyle w:val="Compact"/>
        <w:numPr>
          <w:ilvl w:val="0"/>
          <w:numId w:val="1005"/>
        </w:numPr>
      </w:pPr>
      <w:r>
        <w:t xml:space="preserve">Métricas.</w:t>
      </w:r>
    </w:p>
    <w:p>
      <w:r>
        <w:pict>
          <v:rect style="width:0;height:1.5pt" o:hralign="center" o:hrstd="t" o:hr="t"/>
        </w:pict>
      </w:r>
    </w:p>
    <w:bookmarkEnd w:id="27"/>
    <w:bookmarkStart w:id="28" w:name="nivel-3-firestore-sdk"/>
    <w:p>
      <w:pPr>
        <w:pStyle w:val="Heading1"/>
      </w:pPr>
      <w:r>
        <w:t xml:space="preserve">Nivel 3 — Firestore SDK</w:t>
      </w:r>
    </w:p>
    <w:p>
      <w:pPr>
        <w:pStyle w:val="FirstParagraph"/>
      </w:pPr>
      <w:r>
        <w:t xml:space="preserve">Se aprovechará la caché local del SDK para:</w:t>
      </w:r>
    </w:p>
    <w:p>
      <w:pPr>
        <w:pStyle w:val="Compact"/>
        <w:numPr>
          <w:ilvl w:val="0"/>
          <w:numId w:val="1006"/>
        </w:numPr>
      </w:pPr>
      <w:r>
        <w:t xml:space="preserve">Mejorar la experiencia offline.</w:t>
      </w:r>
    </w:p>
    <w:p>
      <w:pPr>
        <w:pStyle w:val="Compact"/>
        <w:numPr>
          <w:ilvl w:val="0"/>
          <w:numId w:val="1006"/>
        </w:numPr>
      </w:pPr>
      <w:r>
        <w:t xml:space="preserve">Reducir lecturas repetidas.</w:t>
      </w:r>
    </w:p>
    <w:p>
      <w:pPr>
        <w:pStyle w:val="Compact"/>
        <w:numPr>
          <w:ilvl w:val="0"/>
          <w:numId w:val="1006"/>
        </w:numPr>
      </w:pPr>
      <w:r>
        <w:t xml:space="preserve">Sincronizar cambios cuando vuelva la conectividad.</w:t>
      </w:r>
    </w:p>
    <w:p>
      <w:pPr>
        <w:pStyle w:val="FirstParagraph"/>
      </w:pPr>
      <w:r>
        <w:t xml:space="preserve">La lógica de negocio no dependerá del estado de esta caché.</w:t>
      </w:r>
    </w:p>
    <w:p>
      <w:r>
        <w:pict>
          <v:rect style="width:0;height:1.5pt" o:hralign="center" o:hrstd="t" o:hr="t"/>
        </w:pict>
      </w:r>
    </w:p>
    <w:bookmarkEnd w:id="28"/>
    <w:bookmarkStart w:id="29" w:name="qué-se-puede-cachear"/>
    <w:p>
      <w:pPr>
        <w:pStyle w:val="Heading1"/>
      </w:pPr>
      <w:r>
        <w:t xml:space="preserve">Qué se Puede Cachear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Catálogo de tratamientos.</w:t>
      </w:r>
    </w:p>
    <w:p>
      <w:pPr>
        <w:pStyle w:val="Compact"/>
        <w:numPr>
          <w:ilvl w:val="0"/>
          <w:numId w:val="1007"/>
        </w:numPr>
      </w:pPr>
      <w:r>
        <w:t xml:space="preserve">Lista de especialistas.</w:t>
      </w:r>
    </w:p>
    <w:p>
      <w:pPr>
        <w:pStyle w:val="Compact"/>
        <w:numPr>
          <w:ilvl w:val="0"/>
          <w:numId w:val="1007"/>
        </w:numPr>
      </w:pPr>
      <w:r>
        <w:t xml:space="preserve">Configuración de la organización.</w:t>
      </w:r>
    </w:p>
    <w:p>
      <w:pPr>
        <w:pStyle w:val="Compact"/>
        <w:numPr>
          <w:ilvl w:val="0"/>
          <w:numId w:val="1007"/>
        </w:numPr>
      </w:pPr>
      <w:r>
        <w:t xml:space="preserve">Categorías de productos.</w:t>
      </w:r>
    </w:p>
    <w:p>
      <w:pPr>
        <w:pStyle w:val="Compact"/>
        <w:numPr>
          <w:ilvl w:val="0"/>
          <w:numId w:val="1007"/>
        </w:numPr>
      </w:pPr>
      <w:r>
        <w:t xml:space="preserve">Preferencias del usuario.</w:t>
      </w:r>
    </w:p>
    <w:p>
      <w:r>
        <w:pict>
          <v:rect style="width:0;height:1.5pt" o:hralign="center" o:hrstd="t" o:hr="t"/>
        </w:pict>
      </w:r>
    </w:p>
    <w:bookmarkEnd w:id="29"/>
    <w:bookmarkStart w:id="30" w:name="qué-no-se-debe-cachear"/>
    <w:p>
      <w:pPr>
        <w:pStyle w:val="Heading1"/>
      </w:pPr>
      <w:r>
        <w:t xml:space="preserve">Qué NO se Debe Cachear</w:t>
      </w:r>
    </w:p>
    <w:p>
      <w:pPr>
        <w:pStyle w:val="FirstParagraph"/>
      </w:pPr>
      <w:r>
        <w:t xml:space="preserve">Nunca se mantendrán en caché como fuente de decisión:</w:t>
      </w:r>
    </w:p>
    <w:p>
      <w:pPr>
        <w:pStyle w:val="Compact"/>
        <w:numPr>
          <w:ilvl w:val="0"/>
          <w:numId w:val="1008"/>
        </w:numPr>
      </w:pPr>
      <w:r>
        <w:t xml:space="preserve">Disponibilidad de agenda.</w:t>
      </w:r>
    </w:p>
    <w:p>
      <w:pPr>
        <w:pStyle w:val="Compact"/>
        <w:numPr>
          <w:ilvl w:val="0"/>
          <w:numId w:val="1008"/>
        </w:numPr>
      </w:pPr>
      <w:r>
        <w:t xml:space="preserve">Confirmación de reservas.</w:t>
      </w:r>
    </w:p>
    <w:p>
      <w:pPr>
        <w:pStyle w:val="Compact"/>
        <w:numPr>
          <w:ilvl w:val="0"/>
          <w:numId w:val="1008"/>
        </w:numPr>
      </w:pPr>
      <w:r>
        <w:t xml:space="preserve">Estado de pagos.</w:t>
      </w:r>
    </w:p>
    <w:p>
      <w:pPr>
        <w:pStyle w:val="Compact"/>
        <w:numPr>
          <w:ilvl w:val="0"/>
          <w:numId w:val="1008"/>
        </w:numPr>
      </w:pPr>
      <w:r>
        <w:t xml:space="preserve">Inventario crítico.</w:t>
      </w:r>
    </w:p>
    <w:p>
      <w:pPr>
        <w:pStyle w:val="Compact"/>
        <w:numPr>
          <w:ilvl w:val="0"/>
          <w:numId w:val="1008"/>
        </w:numPr>
      </w:pPr>
      <w:r>
        <w:t xml:space="preserve">Permisos recién modificados.</w:t>
      </w:r>
    </w:p>
    <w:p>
      <w:pPr>
        <w:pStyle w:val="FirstParagraph"/>
      </w:pPr>
      <w:r>
        <w:t xml:space="preserve">Estas operaciones deberán consultar siempre la fuente de verdad.</w:t>
      </w:r>
    </w:p>
    <w:p>
      <w:r>
        <w:pict>
          <v:rect style="width:0;height:1.5pt" o:hralign="center" o:hrstd="t" o:hr="t"/>
        </w:pict>
      </w:r>
    </w:p>
    <w:bookmarkEnd w:id="30"/>
    <w:bookmarkStart w:id="31" w:name="invalidación"/>
    <w:p>
      <w:pPr>
        <w:pStyle w:val="Heading1"/>
      </w:pPr>
      <w:r>
        <w:t xml:space="preserve">Invalidación</w:t>
      </w:r>
    </w:p>
    <w:p>
      <w:pPr>
        <w:pStyle w:val="FirstParagraph"/>
      </w:pPr>
      <w:r>
        <w:t xml:space="preserve">La invalidación será explícita.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Crear cliente → invalidar listado de clientes.</w:t>
      </w:r>
    </w:p>
    <w:p>
      <w:pPr>
        <w:pStyle w:val="Compact"/>
        <w:numPr>
          <w:ilvl w:val="0"/>
          <w:numId w:val="1009"/>
        </w:numPr>
      </w:pPr>
      <w:r>
        <w:t xml:space="preserve">Confirmar cita → invalidar agenda del especialista.</w:t>
      </w:r>
    </w:p>
    <w:p>
      <w:pPr>
        <w:pStyle w:val="Compact"/>
        <w:numPr>
          <w:ilvl w:val="0"/>
          <w:numId w:val="1009"/>
        </w:numPr>
      </w:pPr>
      <w:r>
        <w:t xml:space="preserve">Actualizar tratamiento → invalidar catálogo.</w:t>
      </w:r>
    </w:p>
    <w:p>
      <w:pPr>
        <w:pStyle w:val="FirstParagraph"/>
      </w:pPr>
      <w:r>
        <w:t xml:space="preserve">No se utilizarán invalidaciones globales innecesarias.</w:t>
      </w:r>
    </w:p>
    <w:p>
      <w:r>
        <w:pict>
          <v:rect style="width:0;height:1.5pt" o:hralign="center" o:hrstd="t" o:hr="t"/>
        </w:pict>
      </w:r>
    </w:p>
    <w:bookmarkEnd w:id="31"/>
    <w:bookmarkStart w:id="32" w:name="ttl"/>
    <w:p>
      <w:pPr>
        <w:pStyle w:val="Heading1"/>
      </w:pPr>
      <w:r>
        <w:t xml:space="preserve">TTL</w:t>
      </w:r>
    </w:p>
    <w:p>
      <w:pPr>
        <w:pStyle w:val="FirstParagraph"/>
      </w:pPr>
      <w:r>
        <w:t xml:space="preserve">Cada consulta definirá su tiempo de vida recomendado.</w:t>
      </w:r>
    </w:p>
    <w:p>
      <w:pPr>
        <w:pStyle w:val="BodyText"/>
      </w:pPr>
      <w:r>
        <w:t xml:space="preserve">Ejemplos conceptuales: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TTL largo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</w:t>
            </w:r>
          </w:p>
        </w:tc>
        <w:tc>
          <w:tcPr/>
          <w:p>
            <w:pPr>
              <w:pStyle w:val="Compact"/>
            </w:pPr>
            <w:r>
              <w:t xml:space="preserve">TTL 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t xml:space="preserve">Refresco frecuente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Refresco muy frecuente</w:t>
            </w:r>
          </w:p>
        </w:tc>
      </w:tr>
    </w:tbl>
    <w:p>
      <w:pPr>
        <w:pStyle w:val="BodyText"/>
      </w:pPr>
      <w:r>
        <w:t xml:space="preserve">Los valores concretos se ajustarán durante la implementación y las pruebas de rendimiento.</w:t>
      </w:r>
    </w:p>
    <w:p>
      <w:r>
        <w:pict>
          <v:rect style="width:0;height:1.5pt" o:hralign="center" o:hrstd="t" o:hr="t"/>
        </w:pict>
      </w:r>
    </w:p>
    <w:bookmarkEnd w:id="32"/>
    <w:bookmarkStart w:id="33" w:name="claves-de-caché"/>
    <w:p>
      <w:pPr>
        <w:pStyle w:val="Heading1"/>
      </w:pPr>
      <w:r>
        <w:t xml:space="preserve">Claves de Caché</w:t>
      </w:r>
    </w:p>
    <w:p>
      <w:pPr>
        <w:pStyle w:val="FirstParagraph"/>
      </w:pPr>
      <w:r>
        <w:t xml:space="preserve">Las claves deberán ser:</w:t>
      </w:r>
    </w:p>
    <w:p>
      <w:pPr>
        <w:pStyle w:val="Compact"/>
        <w:numPr>
          <w:ilvl w:val="0"/>
          <w:numId w:val="1010"/>
        </w:numPr>
      </w:pPr>
      <w:r>
        <w:t xml:space="preserve">Estables.</w:t>
      </w:r>
    </w:p>
    <w:p>
      <w:pPr>
        <w:pStyle w:val="Compact"/>
        <w:numPr>
          <w:ilvl w:val="0"/>
          <w:numId w:val="1010"/>
        </w:numPr>
      </w:pPr>
      <w:r>
        <w:t xml:space="preserve">Deterministas.</w:t>
      </w:r>
    </w:p>
    <w:p>
      <w:pPr>
        <w:pStyle w:val="Compact"/>
        <w:numPr>
          <w:ilvl w:val="0"/>
          <w:numId w:val="1010"/>
        </w:numPr>
      </w:pPr>
      <w:r>
        <w:t xml:space="preserve">Compuestas por contexto.</w:t>
      </w:r>
    </w:p>
    <w:p>
      <w:pPr>
        <w:pStyle w:val="FirstParagraph"/>
      </w:pPr>
      <w:r>
        <w:t xml:space="preserve">Ejemplo conceptual:</w:t>
      </w:r>
    </w:p>
    <w:p>
      <w:pPr>
        <w:pStyle w:val="BodyText"/>
      </w:pPr>
      <w:r>
        <w:t xml:space="preserve">```text id=</w:t>
      </w:r>
      <w:r>
        <w:t xml:space="preserve">“cache-key-pattern”</w:t>
      </w:r>
      <w:r>
        <w:t xml:space="preserve"> </w:t>
      </w:r>
      <w:r>
        <w:t xml:space="preserve">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filters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pagination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Esto evita colisiones y facilita la invalidación selectiva.</w:t>
      </w:r>
    </w:p>
    <w:p>
      <w:r>
        <w:pict>
          <v:rect style="width:0;height:1.5pt" o:hralign="center" o:hrstd="t" o:hr="t"/>
        </w:pict>
      </w:r>
    </w:p>
    <w:bookmarkEnd w:id="33"/>
    <w:bookmarkStart w:id="34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Se registrarán métricas como:</w:t>
      </w:r>
    </w:p>
    <w:p>
      <w:pPr>
        <w:pStyle w:val="Compact"/>
        <w:numPr>
          <w:ilvl w:val="0"/>
          <w:numId w:val="1011"/>
        </w:numPr>
      </w:pPr>
      <w:r>
        <w:t xml:space="preserve">Hit Rate.</w:t>
      </w:r>
    </w:p>
    <w:p>
      <w:pPr>
        <w:pStyle w:val="Compact"/>
        <w:numPr>
          <w:ilvl w:val="0"/>
          <w:numId w:val="1011"/>
        </w:numPr>
      </w:pPr>
      <w:r>
        <w:t xml:space="preserve">Miss Rate.</w:t>
      </w:r>
    </w:p>
    <w:p>
      <w:pPr>
        <w:pStyle w:val="Compact"/>
        <w:numPr>
          <w:ilvl w:val="0"/>
          <w:numId w:val="1011"/>
        </w:numPr>
      </w:pPr>
      <w:r>
        <w:t xml:space="preserve">Invalidaciones.</w:t>
      </w:r>
    </w:p>
    <w:p>
      <w:pPr>
        <w:pStyle w:val="Compact"/>
        <w:numPr>
          <w:ilvl w:val="0"/>
          <w:numId w:val="1011"/>
        </w:numPr>
      </w:pPr>
      <w:r>
        <w:t xml:space="preserve">Tiempo medio de recuperación.</w:t>
      </w:r>
    </w:p>
    <w:p>
      <w:pPr>
        <w:pStyle w:val="FirstParagraph"/>
      </w:pPr>
      <w:r>
        <w:t xml:space="preserve">Estas métricas permitirán ajustar la estrategia con datos reales.</w:t>
      </w:r>
    </w:p>
    <w:p>
      <w:r>
        <w:pict>
          <v:rect style="width:0;height:1.5pt" o:hralign="center" o:hrstd="t" o:hr="t"/>
        </w:pict>
      </w:r>
    </w:p>
    <w:bookmarkEnd w:id="34"/>
    <w:bookmarkStart w:id="35" w:name="integración-con-eventos"/>
    <w:p>
      <w:pPr>
        <w:pStyle w:val="Heading1"/>
      </w:pPr>
      <w:r>
        <w:t xml:space="preserve">Integración con Eventos</w:t>
      </w:r>
    </w:p>
    <w:p>
      <w:pPr>
        <w:pStyle w:val="FirstParagraph"/>
      </w:pPr>
      <w:r>
        <w:t xml:space="preserve">Los eventos de dominio podrán desencadenar invalidaciones.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CustomerUpdated.</w:t>
      </w:r>
    </w:p>
    <w:p>
      <w:pPr>
        <w:pStyle w:val="Compact"/>
        <w:numPr>
          <w:ilvl w:val="0"/>
          <w:numId w:val="1012"/>
        </w:numPr>
      </w:pPr>
      <w:r>
        <w:t xml:space="preserve">AppointmentCompleted.</w:t>
      </w:r>
    </w:p>
    <w:p>
      <w:pPr>
        <w:pStyle w:val="Compact"/>
        <w:numPr>
          <w:ilvl w:val="0"/>
          <w:numId w:val="1012"/>
        </w:numPr>
      </w:pPr>
      <w:r>
        <w:t xml:space="preserve">ProductUpdated.</w:t>
      </w:r>
    </w:p>
    <w:p>
      <w:pPr>
        <w:pStyle w:val="FirstParagraph"/>
      </w:pPr>
      <w:r>
        <w:t xml:space="preserve">La invalidación será responsabilidad de la capa de aplicación, no del dominio.</w:t>
      </w:r>
    </w:p>
    <w:p>
      <w:r>
        <w:pict>
          <v:rect style="width:0;height:1.5pt" o:hralign="center" o:hrstd="t" o:hr="t"/>
        </w:pict>
      </w:r>
    </w:p>
    <w:bookmarkEnd w:id="35"/>
    <w:bookmarkStart w:id="3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3"/>
        </w:numPr>
      </w:pPr>
      <w:r>
        <w:t xml:space="preserve">Caché desactualizada.</w:t>
      </w:r>
    </w:p>
    <w:p>
      <w:pPr>
        <w:pStyle w:val="Compact"/>
        <w:numPr>
          <w:ilvl w:val="0"/>
          <w:numId w:val="1013"/>
        </w:numPr>
      </w:pPr>
      <w:r>
        <w:t xml:space="preserve">Invalidaciones excesivas.</w:t>
      </w:r>
    </w:p>
    <w:p>
      <w:pPr>
        <w:pStyle w:val="Compact"/>
        <w:numPr>
          <w:ilvl w:val="0"/>
          <w:numId w:val="1013"/>
        </w:numPr>
      </w:pPr>
      <w:r>
        <w:t xml:space="preserve">Dependencia de datos antiguos.</w:t>
      </w:r>
    </w:p>
    <w:p>
      <w:pPr>
        <w:pStyle w:val="Compact"/>
        <w:numPr>
          <w:ilvl w:val="0"/>
          <w:numId w:val="1013"/>
        </w:numPr>
      </w:pPr>
      <w:r>
        <w:t xml:space="preserve">Claves inconsistentes.</w:t>
      </w:r>
    </w:p>
    <w:p>
      <w:pPr>
        <w:pStyle w:val="FirstParagraph"/>
      </w:pPr>
      <w:r>
        <w:t xml:space="preserve">Toda nueva política de caché deberá revisarse arquitectónicamente.</w:t>
      </w:r>
    </w:p>
    <w:p>
      <w:r>
        <w:pict>
          <v:rect style="width:0;height:1.5pt" o:hralign="center" o:hrstd="t" o:hr="t"/>
        </w:pict>
      </w:r>
    </w:p>
    <w:bookmarkEnd w:id="36"/>
    <w:bookmarkStart w:id="3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4"/>
        </w:numPr>
      </w:pPr>
      <w:r>
        <w:t xml:space="preserve">Niveles de caché definidos.</w:t>
      </w:r>
    </w:p>
    <w:p>
      <w:pPr>
        <w:pStyle w:val="Compact"/>
        <w:numPr>
          <w:ilvl w:val="0"/>
          <w:numId w:val="1014"/>
        </w:numPr>
      </w:pPr>
      <w:r>
        <w:t xml:space="preserve">Datos cacheables identificados.</w:t>
      </w:r>
    </w:p>
    <w:p>
      <w:pPr>
        <w:pStyle w:val="Compact"/>
        <w:numPr>
          <w:ilvl w:val="0"/>
          <w:numId w:val="1014"/>
        </w:numPr>
      </w:pPr>
      <w:r>
        <w:t xml:space="preserve">Datos críticos excluidos.</w:t>
      </w:r>
    </w:p>
    <w:p>
      <w:pPr>
        <w:pStyle w:val="Compact"/>
        <w:numPr>
          <w:ilvl w:val="0"/>
          <w:numId w:val="1014"/>
        </w:numPr>
      </w:pPr>
      <w:r>
        <w:t xml:space="preserve">Estrategia de invalidación documentada.</w:t>
      </w:r>
    </w:p>
    <w:p>
      <w:pPr>
        <w:pStyle w:val="Compact"/>
        <w:numPr>
          <w:ilvl w:val="0"/>
          <w:numId w:val="1014"/>
        </w:numPr>
      </w:pPr>
      <w:r>
        <w:t xml:space="preserve">Integración con eventos prevista.</w:t>
      </w:r>
    </w:p>
    <w:p>
      <w:pPr>
        <w:pStyle w:val="Compact"/>
        <w:numPr>
          <w:ilvl w:val="0"/>
          <w:numId w:val="1014"/>
        </w:numPr>
      </w:pPr>
      <w:r>
        <w:t xml:space="preserve">Observabilidad incluida.</w:t>
      </w:r>
    </w:p>
    <w:p>
      <w:r>
        <w:pict>
          <v:rect style="width:0;height:1.5pt" o:hralign="center" o:hrstd="t" o:hr="t"/>
        </w:pict>
      </w:r>
    </w:p>
    <w:bookmarkEnd w:id="37"/>
    <w:bookmarkStart w:id="3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5"/>
        </w:numPr>
      </w:pPr>
      <w:r>
        <w:t xml:space="preserve">A009_CONCURRENCY_AND_CONSISTENCY_STRATEGY.md</w:t>
      </w:r>
    </w:p>
    <w:p>
      <w:pPr>
        <w:pStyle w:val="Compact"/>
        <w:numPr>
          <w:ilvl w:val="0"/>
          <w:numId w:val="1015"/>
        </w:numPr>
      </w:pPr>
      <w:r>
        <w:t xml:space="preserve">A010_EVENT_DRIVEN_ARCHITECTURE.md</w:t>
      </w:r>
    </w:p>
    <w:p>
      <w:pPr>
        <w:pStyle w:val="Compact"/>
        <w:numPr>
          <w:ilvl w:val="0"/>
          <w:numId w:val="1015"/>
        </w:numPr>
      </w:pPr>
      <w:r>
        <w:t xml:space="preserve">FB001_FIREBASE_SDK_ARCHITECTURE.md</w:t>
      </w:r>
    </w:p>
    <w:p>
      <w:pPr>
        <w:pStyle w:val="Compact"/>
        <w:numPr>
          <w:ilvl w:val="0"/>
          <w:numId w:val="1015"/>
        </w:numPr>
      </w:pPr>
      <w:r>
        <w:t xml:space="preserve">FB002_FIRESTORE_REPOSITORY_PATTERN.md</w:t>
      </w:r>
    </w:p>
    <w:p>
      <w:pPr>
        <w:pStyle w:val="Compact"/>
        <w:numPr>
          <w:ilvl w:val="0"/>
          <w:numId w:val="1015"/>
        </w:numPr>
      </w:pPr>
      <w:r>
        <w:t xml:space="preserve">UI004_LAYOUT_SYSTEM_ARCHITECTURE.md</w:t>
      </w:r>
    </w:p>
    <w:p>
      <w:r>
        <w:pict>
          <v:rect style="width:0;height:1.5pt" o:hralign="center" o:hrstd="t" o:hr="t"/>
        </w:pict>
      </w:r>
    </w:p>
    <w:bookmarkEnd w:id="38"/>
    <w:bookmarkStart w:id="3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estrategia oficial de caché de la plataforma.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2026-06-30T17:11:21Z</dcterms:created>
  <dcterms:modified xsi:type="dcterms:W3CDTF">2026-06-30T17:11:21Z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