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009-concurrency-consistency-strategy"/>
    <w:p>
      <w:pPr>
        <w:pStyle w:val="Heading1"/>
      </w:pPr>
      <w:r>
        <w:t xml:space="preserve">A009 — CONCURRENCY &amp; CONSISTENCY STRATEGY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estrategia oficial para garantizar la consistencia de los datos cuando múltiples usuarios o procesos ejecutan operaciones simultáneamente.</w:t>
      </w:r>
    </w:p>
    <w:p>
      <w:pPr>
        <w:pStyle w:val="BodyText"/>
      </w:pPr>
      <w:r>
        <w:t xml:space="preserve">Este documento aplica a toda la plataforma y establece los principios para evitar condiciones de carrera, duplicidades e inconsistencias.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Customers.</w:t>
      </w:r>
    </w:p>
    <w:p>
      <w:pPr>
        <w:pStyle w:val="Compact"/>
        <w:numPr>
          <w:ilvl w:val="0"/>
          <w:numId w:val="1001"/>
        </w:numPr>
      </w:pPr>
      <w:r>
        <w:t xml:space="preserve">Appointments.</w:t>
      </w:r>
    </w:p>
    <w:p>
      <w:pPr>
        <w:pStyle w:val="Compact"/>
        <w:numPr>
          <w:ilvl w:val="0"/>
          <w:numId w:val="1001"/>
        </w:numPr>
      </w:pPr>
      <w:r>
        <w:t xml:space="preserve">Orders.</w:t>
      </w:r>
    </w:p>
    <w:p>
      <w:pPr>
        <w:pStyle w:val="Compact"/>
        <w:numPr>
          <w:ilvl w:val="0"/>
          <w:numId w:val="1001"/>
        </w:numPr>
      </w:pPr>
      <w:r>
        <w:t xml:space="preserve">Inventory.</w:t>
      </w:r>
    </w:p>
    <w:p>
      <w:pPr>
        <w:pStyle w:val="Compact"/>
        <w:numPr>
          <w:ilvl w:val="0"/>
          <w:numId w:val="1001"/>
        </w:numPr>
      </w:pPr>
      <w:r>
        <w:t xml:space="preserve">Payments.</w:t>
      </w:r>
    </w:p>
    <w:p>
      <w:pPr>
        <w:pStyle w:val="Compact"/>
        <w:numPr>
          <w:ilvl w:val="0"/>
          <w:numId w:val="1001"/>
        </w:numPr>
      </w:pPr>
      <w:r>
        <w:t xml:space="preserve">Loyalty.</w:t>
      </w:r>
    </w:p>
    <w:p>
      <w:pPr>
        <w:pStyle w:val="Compact"/>
        <w:numPr>
          <w:ilvl w:val="0"/>
          <w:numId w:val="1001"/>
        </w:numPr>
      </w:pPr>
      <w:r>
        <w:t xml:space="preserve">CRM.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Toda operación crítica deberá cumplir:</w:t>
      </w:r>
    </w:p>
    <w:p>
      <w:pPr>
        <w:pStyle w:val="Compact"/>
        <w:numPr>
          <w:ilvl w:val="0"/>
          <w:numId w:val="1002"/>
        </w:numPr>
      </w:pPr>
      <w:r>
        <w:t xml:space="preserve">Atomicidad.</w:t>
      </w:r>
    </w:p>
    <w:p>
      <w:pPr>
        <w:pStyle w:val="Compact"/>
        <w:numPr>
          <w:ilvl w:val="0"/>
          <w:numId w:val="1002"/>
        </w:numPr>
      </w:pPr>
      <w:r>
        <w:t xml:space="preserve">Consistencia.</w:t>
      </w:r>
    </w:p>
    <w:p>
      <w:pPr>
        <w:pStyle w:val="Compact"/>
        <w:numPr>
          <w:ilvl w:val="0"/>
          <w:numId w:val="1002"/>
        </w:numPr>
      </w:pPr>
      <w:r>
        <w:t xml:space="preserve">Idempotencia.</w:t>
      </w:r>
    </w:p>
    <w:p>
      <w:pPr>
        <w:pStyle w:val="Compact"/>
        <w:numPr>
          <w:ilvl w:val="0"/>
          <w:numId w:val="1002"/>
        </w:numPr>
      </w:pPr>
      <w:r>
        <w:t xml:space="preserve">Auditoría.</w:t>
      </w:r>
    </w:p>
    <w:p>
      <w:pPr>
        <w:pStyle w:val="Compact"/>
        <w:numPr>
          <w:ilvl w:val="0"/>
          <w:numId w:val="1002"/>
        </w:numPr>
      </w:pPr>
      <w:r>
        <w:t xml:space="preserve">Recuperación ante fallos.</w:t>
      </w:r>
    </w:p>
    <w:p>
      <w:r>
        <w:pict>
          <v:rect style="width:0;height:1.5pt" o:hralign="center" o:hrstd="t" o:hr="t"/>
        </w:pict>
      </w:r>
    </w:p>
    <w:bookmarkEnd w:id="24"/>
    <w:bookmarkStart w:id="25" w:name="riesgos"/>
    <w:p>
      <w:pPr>
        <w:pStyle w:val="Heading1"/>
      </w:pPr>
      <w:r>
        <w:t xml:space="preserve">Riesgos</w:t>
      </w:r>
    </w:p>
    <w:p>
      <w:pPr>
        <w:pStyle w:val="FirstParagraph"/>
      </w:pPr>
      <w:r>
        <w:t xml:space="preserve">La plataforma deberá prevenir:</w:t>
      </w:r>
    </w:p>
    <w:p>
      <w:pPr>
        <w:pStyle w:val="Compact"/>
        <w:numPr>
          <w:ilvl w:val="0"/>
          <w:numId w:val="1003"/>
        </w:numPr>
      </w:pPr>
      <w:r>
        <w:t xml:space="preserve">Dobles reservas.</w:t>
      </w:r>
    </w:p>
    <w:p>
      <w:pPr>
        <w:pStyle w:val="Compact"/>
        <w:numPr>
          <w:ilvl w:val="0"/>
          <w:numId w:val="1003"/>
        </w:numPr>
      </w:pPr>
      <w:r>
        <w:t xml:space="preserve">Doble descuento de inventario.</w:t>
      </w:r>
    </w:p>
    <w:p>
      <w:pPr>
        <w:pStyle w:val="Compact"/>
        <w:numPr>
          <w:ilvl w:val="0"/>
          <w:numId w:val="1003"/>
        </w:numPr>
      </w:pPr>
      <w:r>
        <w:t xml:space="preserve">Pagos duplicados.</w:t>
      </w:r>
    </w:p>
    <w:p>
      <w:pPr>
        <w:pStyle w:val="Compact"/>
        <w:numPr>
          <w:ilvl w:val="0"/>
          <w:numId w:val="1003"/>
        </w:numPr>
      </w:pPr>
      <w:r>
        <w:t xml:space="preserve">Creación duplicada de registros.</w:t>
      </w:r>
    </w:p>
    <w:p>
      <w:pPr>
        <w:pStyle w:val="Compact"/>
        <w:numPr>
          <w:ilvl w:val="0"/>
          <w:numId w:val="1003"/>
        </w:numPr>
      </w:pPr>
      <w:r>
        <w:t xml:space="preserve">Actualizaciones perdidas.</w:t>
      </w:r>
    </w:p>
    <w:p>
      <w:r>
        <w:pict>
          <v:rect style="width:0;height:1.5pt" o:hralign="center" o:hrstd="t" o:hr="t"/>
        </w:pict>
      </w:r>
    </w:p>
    <w:bookmarkEnd w:id="25"/>
    <w:bookmarkStart w:id="26" w:name="arquitectura"/>
    <w:p>
      <w:pPr>
        <w:pStyle w:val="Heading1"/>
      </w:pPr>
      <w:r>
        <w:t xml:space="preserve">Arquitectura</w:t>
      </w:r>
    </w:p>
    <w:p>
      <w:pPr>
        <w:pStyle w:val="FirstParagraph"/>
      </w:pPr>
      <w:r>
        <w:rPr>
          <w:rStyle w:val="VerbatimChar"/>
        </w:rPr>
        <w:t xml:space="preserve">text id="concurrency-flow" Cliente     │     ▼ Cloud Function     │     ▼ Validación     │     ▼ Transacción Firestore     │     ▼ Persistencia     │     ▼ Evento de Dominio</w:t>
      </w:r>
    </w:p>
    <w:p>
      <w:pPr>
        <w:pStyle w:val="BodyText"/>
      </w:pPr>
      <w:r>
        <w:t xml:space="preserve">Las operaciones críticas nunca dependerán únicamente del cliente.</w:t>
      </w:r>
    </w:p>
    <w:p>
      <w:r>
        <w:pict>
          <v:rect style="width:0;height:1.5pt" o:hralign="center" o:hrstd="t" o:hr="t"/>
        </w:pict>
      </w:r>
    </w:p>
    <w:bookmarkEnd w:id="26"/>
    <w:bookmarkStart w:id="27" w:name="operaciones-críticas"/>
    <w:p>
      <w:pPr>
        <w:pStyle w:val="Heading1"/>
      </w:pPr>
      <w:r>
        <w:t xml:space="preserve">Operaciones Críticas</w:t>
      </w:r>
    </w:p>
    <w:p>
      <w:pPr>
        <w:pStyle w:val="FirstParagraph"/>
      </w:pPr>
      <w:r>
        <w:t xml:space="preserve">Se consideran críticas, entre otras:</w:t>
      </w:r>
    </w:p>
    <w:p>
      <w:pPr>
        <w:pStyle w:val="Compact"/>
        <w:numPr>
          <w:ilvl w:val="0"/>
          <w:numId w:val="1004"/>
        </w:numPr>
      </w:pPr>
      <w:r>
        <w:t xml:space="preserve">Confirmar una cita.</w:t>
      </w:r>
    </w:p>
    <w:p>
      <w:pPr>
        <w:pStyle w:val="Compact"/>
        <w:numPr>
          <w:ilvl w:val="0"/>
          <w:numId w:val="1004"/>
        </w:numPr>
      </w:pPr>
      <w:r>
        <w:t xml:space="preserve">Reservar un horario.</w:t>
      </w:r>
    </w:p>
    <w:p>
      <w:pPr>
        <w:pStyle w:val="Compact"/>
        <w:numPr>
          <w:ilvl w:val="0"/>
          <w:numId w:val="1004"/>
        </w:numPr>
      </w:pPr>
      <w:r>
        <w:t xml:space="preserve">Descontar inventario.</w:t>
      </w:r>
    </w:p>
    <w:p>
      <w:pPr>
        <w:pStyle w:val="Compact"/>
        <w:numPr>
          <w:ilvl w:val="0"/>
          <w:numId w:val="1004"/>
        </w:numPr>
      </w:pPr>
      <w:r>
        <w:t xml:space="preserve">Confirmar un pedido.</w:t>
      </w:r>
    </w:p>
    <w:p>
      <w:pPr>
        <w:pStyle w:val="Compact"/>
        <w:numPr>
          <w:ilvl w:val="0"/>
          <w:numId w:val="1004"/>
        </w:numPr>
      </w:pPr>
      <w:r>
        <w:t xml:space="preserve">Registrar un pago.</w:t>
      </w:r>
    </w:p>
    <w:p>
      <w:pPr>
        <w:pStyle w:val="Compact"/>
        <w:numPr>
          <w:ilvl w:val="0"/>
          <w:numId w:val="1004"/>
        </w:numPr>
      </w:pPr>
      <w:r>
        <w:t xml:space="preserve">Canjear puntos de fidelización.</w:t>
      </w:r>
    </w:p>
    <w:p>
      <w:pPr>
        <w:pStyle w:val="FirstParagraph"/>
      </w:pPr>
      <w:r>
        <w:t xml:space="preserve">Estas operaciones deberán ejecutarse mediante transacciones o mecanismos equivalentes cuando la consistencia lo requiera.</w:t>
      </w:r>
    </w:p>
    <w:p>
      <w:r>
        <w:pict>
          <v:rect style="width:0;height:1.5pt" o:hralign="center" o:hrstd="t" o:hr="t"/>
        </w:pict>
      </w:r>
    </w:p>
    <w:bookmarkEnd w:id="27"/>
    <w:bookmarkStart w:id="28" w:name="transacciones"/>
    <w:p>
      <w:pPr>
        <w:pStyle w:val="Heading1"/>
      </w:pPr>
      <w:r>
        <w:t xml:space="preserve">Transacciones</w:t>
      </w:r>
    </w:p>
    <w:p>
      <w:pPr>
        <w:pStyle w:val="FirstParagraph"/>
      </w:pPr>
      <w:r>
        <w:t xml:space="preserve">Se utilizarán transacciones de Firestore cuando una operación implique leer y escribir varios documentos con una relación de consistencia.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Verificar disponibilidad y crear una cita.</w:t>
      </w:r>
    </w:p>
    <w:p>
      <w:pPr>
        <w:pStyle w:val="Compact"/>
        <w:numPr>
          <w:ilvl w:val="0"/>
          <w:numId w:val="1005"/>
        </w:numPr>
      </w:pPr>
      <w:r>
        <w:t xml:space="preserve">Actualizar puntos de fidelización.</w:t>
      </w:r>
    </w:p>
    <w:p>
      <w:pPr>
        <w:pStyle w:val="Compact"/>
        <w:numPr>
          <w:ilvl w:val="0"/>
          <w:numId w:val="1005"/>
        </w:numPr>
      </w:pPr>
      <w:r>
        <w:t xml:space="preserve">Reservar un recurso compartido.</w:t>
      </w:r>
    </w:p>
    <w:p>
      <w:pPr>
        <w:pStyle w:val="FirstParagraph"/>
      </w:pPr>
      <w:r>
        <w:t xml:space="preserve">Las transacciones deberán ser lo más pequeñas posible para reducir conflictos y mejorar el rendimiento.</w:t>
      </w:r>
    </w:p>
    <w:p>
      <w:r>
        <w:pict>
          <v:rect style="width:0;height:1.5pt" o:hralign="center" o:hrstd="t" o:hr="t"/>
        </w:pict>
      </w:r>
    </w:p>
    <w:bookmarkEnd w:id="28"/>
    <w:bookmarkStart w:id="29" w:name="idempotencia"/>
    <w:p>
      <w:pPr>
        <w:pStyle w:val="Heading1"/>
      </w:pPr>
      <w:r>
        <w:t xml:space="preserve">Idempotencia</w:t>
      </w:r>
    </w:p>
    <w:p>
      <w:pPr>
        <w:pStyle w:val="FirstParagraph"/>
      </w:pPr>
      <w:r>
        <w:t xml:space="preserve">Las operaciones susceptibles de repetirse deberán aceptar un identificador único de solicitud (</w:t>
      </w:r>
      <w:r>
        <w:rPr>
          <w:rStyle w:val="VerbatimChar"/>
        </w:rPr>
        <w:t xml:space="preserve">idempotencyKey</w:t>
      </w:r>
      <w:r>
        <w:t xml:space="preserve">).</w:t>
      </w:r>
    </w:p>
    <w:p>
      <w:pPr>
        <w:pStyle w:val="BodyText"/>
      </w:pPr>
      <w:r>
        <w:t xml:space="preserve">Si la misma solicitud llega más de una vez:</w:t>
      </w:r>
    </w:p>
    <w:p>
      <w:pPr>
        <w:pStyle w:val="Compact"/>
        <w:numPr>
          <w:ilvl w:val="0"/>
          <w:numId w:val="1006"/>
        </w:numPr>
      </w:pPr>
      <w:r>
        <w:t xml:space="preserve">No se duplicará la operación.</w:t>
      </w:r>
    </w:p>
    <w:p>
      <w:pPr>
        <w:pStyle w:val="Compact"/>
        <w:numPr>
          <w:ilvl w:val="0"/>
          <w:numId w:val="1006"/>
        </w:numPr>
      </w:pPr>
      <w:r>
        <w:t xml:space="preserve">Se devolverá el resultado previamente registrado o un resultado equivalente.</w:t>
      </w:r>
    </w:p>
    <w:p>
      <w:pPr>
        <w:pStyle w:val="FirstParagraph"/>
      </w:pPr>
      <w:r>
        <w:t xml:space="preserve">Aplicaciones típicas:</w:t>
      </w:r>
    </w:p>
    <w:p>
      <w:pPr>
        <w:pStyle w:val="Compact"/>
        <w:numPr>
          <w:ilvl w:val="0"/>
          <w:numId w:val="1007"/>
        </w:numPr>
      </w:pPr>
      <w:r>
        <w:t xml:space="preserve">Confirmación de pagos.</w:t>
      </w:r>
    </w:p>
    <w:p>
      <w:pPr>
        <w:pStyle w:val="Compact"/>
        <w:numPr>
          <w:ilvl w:val="0"/>
          <w:numId w:val="1007"/>
        </w:numPr>
      </w:pPr>
      <w:r>
        <w:t xml:space="preserve">Creación de pedidos.</w:t>
      </w:r>
    </w:p>
    <w:p>
      <w:pPr>
        <w:pStyle w:val="Compact"/>
        <w:numPr>
          <w:ilvl w:val="0"/>
          <w:numId w:val="1007"/>
        </w:numPr>
      </w:pPr>
      <w:r>
        <w:t xml:space="preserve">Reservas iniciadas desde conexiones inestables.</w:t>
      </w:r>
    </w:p>
    <w:p>
      <w:r>
        <w:pict>
          <v:rect style="width:0;height:1.5pt" o:hralign="center" o:hrstd="t" o:hr="t"/>
        </w:pict>
      </w:r>
    </w:p>
    <w:bookmarkEnd w:id="29"/>
    <w:bookmarkStart w:id="30" w:name="reintentos"/>
    <w:p>
      <w:pPr>
        <w:pStyle w:val="Heading1"/>
      </w:pPr>
      <w:r>
        <w:t xml:space="preserve">Reintentos</w:t>
      </w:r>
    </w:p>
    <w:p>
      <w:pPr>
        <w:pStyle w:val="FirstParagraph"/>
      </w:pPr>
      <w:r>
        <w:t xml:space="preserve">Las operaciones que fallen por conflictos temporales podrán reintentarse siguiendo una política controlada.</w:t>
      </w:r>
    </w:p>
    <w:p>
      <w:pPr>
        <w:pStyle w:val="BodyText"/>
      </w:pPr>
      <w:r>
        <w:t xml:space="preserve">Requisitos:</w:t>
      </w:r>
    </w:p>
    <w:p>
      <w:pPr>
        <w:pStyle w:val="Compact"/>
        <w:numPr>
          <w:ilvl w:val="0"/>
          <w:numId w:val="1008"/>
        </w:numPr>
      </w:pPr>
      <w:r>
        <w:t xml:space="preserve">Número máximo de intentos.</w:t>
      </w:r>
    </w:p>
    <w:p>
      <w:pPr>
        <w:pStyle w:val="Compact"/>
        <w:numPr>
          <w:ilvl w:val="0"/>
          <w:numId w:val="1008"/>
        </w:numPr>
      </w:pPr>
      <w:r>
        <w:t xml:space="preserve">Retrasos progresivos.</w:t>
      </w:r>
    </w:p>
    <w:p>
      <w:pPr>
        <w:pStyle w:val="Compact"/>
        <w:numPr>
          <w:ilvl w:val="0"/>
          <w:numId w:val="1008"/>
        </w:numPr>
      </w:pPr>
      <w:r>
        <w:t xml:space="preserve">Registro de cada intento.</w:t>
      </w:r>
    </w:p>
    <w:p>
      <w:pPr>
        <w:pStyle w:val="FirstParagraph"/>
      </w:pPr>
      <w:r>
        <w:t xml:space="preserve">No se realizarán reintentos infinitos.</w:t>
      </w:r>
    </w:p>
    <w:p>
      <w:r>
        <w:pict>
          <v:rect style="width:0;height:1.5pt" o:hralign="center" o:hrstd="t" o:hr="t"/>
        </w:pict>
      </w:r>
    </w:p>
    <w:bookmarkEnd w:id="30"/>
    <w:bookmarkStart w:id="31" w:name="condiciones-de-carrera"/>
    <w:p>
      <w:pPr>
        <w:pStyle w:val="Heading1"/>
      </w:pPr>
      <w:r>
        <w:t xml:space="preserve">Condiciones de Carrera</w:t>
      </w:r>
    </w:p>
    <w:p>
      <w:pPr>
        <w:pStyle w:val="FirstParagraph"/>
      </w:pPr>
      <w:r>
        <w:t xml:space="preserve">Antes de modificar un recurso compartido se verificará nuevamente su estado dentro de la transacción.</w:t>
      </w:r>
    </w:p>
    <w:p>
      <w:pPr>
        <w:pStyle w:val="BodyText"/>
      </w:pPr>
      <w:r>
        <w:t xml:space="preserve">Ejemplo:</w:t>
      </w:r>
    </w:p>
    <w:p>
      <w:pPr>
        <w:pStyle w:val="Compact"/>
        <w:numPr>
          <w:ilvl w:val="0"/>
          <w:numId w:val="1009"/>
        </w:numPr>
      </w:pPr>
      <w:r>
        <w:t xml:space="preserve">Dos recepcionistas intentan reservar el mismo horario.</w:t>
      </w:r>
    </w:p>
    <w:p>
      <w:pPr>
        <w:pStyle w:val="Compact"/>
        <w:numPr>
          <w:ilvl w:val="0"/>
          <w:numId w:val="1009"/>
        </w:numPr>
      </w:pPr>
      <w:r>
        <w:t xml:space="preserve">La primera transacción confirma la reserva.</w:t>
      </w:r>
    </w:p>
    <w:p>
      <w:pPr>
        <w:pStyle w:val="Compact"/>
        <w:numPr>
          <w:ilvl w:val="0"/>
          <w:numId w:val="1009"/>
        </w:numPr>
      </w:pPr>
      <w:r>
        <w:t xml:space="preserve">La segunda detecta el cambio y finaliza con un error controlado.</w:t>
      </w:r>
    </w:p>
    <w:p>
      <w:r>
        <w:pict>
          <v:rect style="width:0;height:1.5pt" o:hralign="center" o:hrstd="t" o:hr="t"/>
        </w:pict>
      </w:r>
    </w:p>
    <w:bookmarkEnd w:id="31"/>
    <w:bookmarkStart w:id="32" w:name="consistencia-eventual"/>
    <w:p>
      <w:pPr>
        <w:pStyle w:val="Heading1"/>
      </w:pPr>
      <w:r>
        <w:t xml:space="preserve">Consistencia Eventual</w:t>
      </w:r>
    </w:p>
    <w:p>
      <w:pPr>
        <w:pStyle w:val="FirstParagraph"/>
      </w:pPr>
      <w:r>
        <w:t xml:space="preserve">Los módulos que consuman eventos deberán asumir que algunas actualizaciones se propagarán de forma asíncrona.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0"/>
        </w:numPr>
      </w:pPr>
      <w:r>
        <w:t xml:space="preserve">Analítica.</w:t>
      </w:r>
    </w:p>
    <w:p>
      <w:pPr>
        <w:pStyle w:val="Compact"/>
        <w:numPr>
          <w:ilvl w:val="0"/>
          <w:numId w:val="1010"/>
        </w:numPr>
      </w:pPr>
      <w:r>
        <w:t xml:space="preserve">Marketing.</w:t>
      </w:r>
    </w:p>
    <w:p>
      <w:pPr>
        <w:pStyle w:val="Compact"/>
        <w:numPr>
          <w:ilvl w:val="0"/>
          <w:numId w:val="1010"/>
        </w:numPr>
      </w:pPr>
      <w:r>
        <w:t xml:space="preserve">IA.</w:t>
      </w:r>
    </w:p>
    <w:p>
      <w:pPr>
        <w:pStyle w:val="FirstParagraph"/>
      </w:pPr>
      <w:r>
        <w:t xml:space="preserve">Los procesos operativos no dependerán de esa consistencia eventual para decisiones críticas.</w:t>
      </w:r>
    </w:p>
    <w:p>
      <w:r>
        <w:pict>
          <v:rect style="width:0;height:1.5pt" o:hralign="center" o:hrstd="t" o:hr="t"/>
        </w:pict>
      </w:r>
    </w:p>
    <w:bookmarkEnd w:id="32"/>
    <w:bookmarkStart w:id="33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Todas las operaciones críticas registrarán:</w:t>
      </w:r>
    </w:p>
    <w:p>
      <w:pPr>
        <w:pStyle w:val="Compact"/>
        <w:numPr>
          <w:ilvl w:val="0"/>
          <w:numId w:val="1011"/>
        </w:numPr>
      </w:pPr>
      <w:r>
        <w:t xml:space="preserve">Usuario.</w:t>
      </w:r>
    </w:p>
    <w:p>
      <w:pPr>
        <w:pStyle w:val="Compact"/>
        <w:numPr>
          <w:ilvl w:val="0"/>
          <w:numId w:val="1011"/>
        </w:numPr>
      </w:pPr>
      <w:r>
        <w:t xml:space="preserve">Organización.</w:t>
      </w:r>
    </w:p>
    <w:p>
      <w:pPr>
        <w:pStyle w:val="Compact"/>
        <w:numPr>
          <w:ilvl w:val="0"/>
          <w:numId w:val="1011"/>
        </w:numPr>
      </w:pPr>
      <w:r>
        <w:t xml:space="preserve">Correlation ID.</w:t>
      </w:r>
    </w:p>
    <w:p>
      <w:pPr>
        <w:pStyle w:val="Compact"/>
        <w:numPr>
          <w:ilvl w:val="0"/>
          <w:numId w:val="1011"/>
        </w:numPr>
      </w:pPr>
      <w:r>
        <w:t xml:space="preserve">Fecha.</w:t>
      </w:r>
    </w:p>
    <w:p>
      <w:pPr>
        <w:pStyle w:val="Compact"/>
        <w:numPr>
          <w:ilvl w:val="0"/>
          <w:numId w:val="1011"/>
        </w:numPr>
      </w:pPr>
      <w:r>
        <w:t xml:space="preserve">Resultado.</w:t>
      </w:r>
    </w:p>
    <w:p>
      <w:pPr>
        <w:pStyle w:val="Compact"/>
        <w:numPr>
          <w:ilvl w:val="0"/>
          <w:numId w:val="1011"/>
        </w:numPr>
      </w:pPr>
      <w:r>
        <w:t xml:space="preserve">Número de reintentos.</w:t>
      </w:r>
    </w:p>
    <w:p>
      <w:r>
        <w:pict>
          <v:rect style="width:0;height:1.5pt" o:hralign="center" o:hrstd="t" o:hr="t"/>
        </w:pict>
      </w:r>
    </w:p>
    <w:bookmarkEnd w:id="33"/>
    <w:bookmarkStart w:id="34" w:name="recuperación"/>
    <w:p>
      <w:pPr>
        <w:pStyle w:val="Heading1"/>
      </w:pPr>
      <w:r>
        <w:t xml:space="preserve">Recuperación</w:t>
      </w:r>
    </w:p>
    <w:p>
      <w:pPr>
        <w:pStyle w:val="FirstParagraph"/>
      </w:pPr>
      <w:r>
        <w:t xml:space="preserve">Ante un fallo:</w:t>
      </w:r>
    </w:p>
    <w:p>
      <w:pPr>
        <w:pStyle w:val="Compact"/>
        <w:numPr>
          <w:ilvl w:val="0"/>
          <w:numId w:val="1012"/>
        </w:numPr>
      </w:pPr>
      <w:r>
        <w:t xml:space="preserve">No se dejarán datos parcialmente actualizados.</w:t>
      </w:r>
    </w:p>
    <w:p>
      <w:pPr>
        <w:pStyle w:val="Compact"/>
        <w:numPr>
          <w:ilvl w:val="0"/>
          <w:numId w:val="1012"/>
        </w:numPr>
      </w:pPr>
      <w:r>
        <w:t xml:space="preserve">La operación podrá reintentarse cuando sea seguro.</w:t>
      </w:r>
    </w:p>
    <w:p>
      <w:pPr>
        <w:pStyle w:val="Compact"/>
        <w:numPr>
          <w:ilvl w:val="0"/>
          <w:numId w:val="1012"/>
        </w:numPr>
      </w:pPr>
      <w:r>
        <w:t xml:space="preserve">Se devolverá un error controlado mediante el Result Pattern.</w:t>
      </w:r>
    </w:p>
    <w:p>
      <w:r>
        <w:pict>
          <v:rect style="width:0;height:1.5pt" o:hralign="center" o:hrstd="t" o:hr="t"/>
        </w:pict>
      </w:r>
    </w:p>
    <w:bookmarkEnd w:id="34"/>
    <w:bookmarkStart w:id="35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Cada operación expondrá métricas como:</w:t>
      </w:r>
    </w:p>
    <w:p>
      <w:pPr>
        <w:pStyle w:val="Compact"/>
        <w:numPr>
          <w:ilvl w:val="0"/>
          <w:numId w:val="1013"/>
        </w:numPr>
      </w:pPr>
      <w:r>
        <w:t xml:space="preserve">Tiempo de ejecución.</w:t>
      </w:r>
    </w:p>
    <w:p>
      <w:pPr>
        <w:pStyle w:val="Compact"/>
        <w:numPr>
          <w:ilvl w:val="0"/>
          <w:numId w:val="1013"/>
        </w:numPr>
      </w:pPr>
      <w:r>
        <w:t xml:space="preserve">Conflictos de concurrencia.</w:t>
      </w:r>
    </w:p>
    <w:p>
      <w:pPr>
        <w:pStyle w:val="Compact"/>
        <w:numPr>
          <w:ilvl w:val="0"/>
          <w:numId w:val="1013"/>
        </w:numPr>
      </w:pPr>
      <w:r>
        <w:t xml:space="preserve">Número de reintentos.</w:t>
      </w:r>
    </w:p>
    <w:p>
      <w:pPr>
        <w:pStyle w:val="Compact"/>
        <w:numPr>
          <w:ilvl w:val="0"/>
          <w:numId w:val="1013"/>
        </w:numPr>
      </w:pPr>
      <w:r>
        <w:t xml:space="preserve">Operaciones canceladas.</w:t>
      </w:r>
    </w:p>
    <w:p>
      <w:pPr>
        <w:pStyle w:val="FirstParagraph"/>
      </w:pPr>
      <w:r>
        <w:t xml:space="preserve">Estas métricas permitirán detectar cuellos de botella.</w:t>
      </w:r>
    </w:p>
    <w:p>
      <w:r>
        <w:pict>
          <v:rect style="width:0;height:1.5pt" o:hralign="center" o:hrstd="t" o:hr="t"/>
        </w:pict>
      </w:r>
    </w:p>
    <w:bookmarkEnd w:id="35"/>
    <w:bookmarkStart w:id="36" w:name="integración-con-otros-documentos"/>
    <w:p>
      <w:pPr>
        <w:pStyle w:val="Heading1"/>
      </w:pPr>
      <w:r>
        <w:t xml:space="preserve">Integración con Otros Documentos</w:t>
      </w:r>
    </w:p>
    <w:p>
      <w:pPr>
        <w:pStyle w:val="FirstParagraph"/>
      </w:pPr>
      <w:r>
        <w:t xml:space="preserve">Esta estrategia será utilizada por:</w:t>
      </w:r>
    </w:p>
    <w:p>
      <w:pPr>
        <w:pStyle w:val="Compact"/>
        <w:numPr>
          <w:ilvl w:val="0"/>
          <w:numId w:val="1014"/>
        </w:numPr>
      </w:pPr>
      <w:r>
        <w:t xml:space="preserve">Cloud Functions.</w:t>
      </w:r>
    </w:p>
    <w:p>
      <w:pPr>
        <w:pStyle w:val="Compact"/>
        <w:numPr>
          <w:ilvl w:val="0"/>
          <w:numId w:val="1014"/>
        </w:numPr>
      </w:pPr>
      <w:r>
        <w:t xml:space="preserve">Firestore Repository Pattern.</w:t>
      </w:r>
    </w:p>
    <w:p>
      <w:pPr>
        <w:pStyle w:val="Compact"/>
        <w:numPr>
          <w:ilvl w:val="0"/>
          <w:numId w:val="1014"/>
        </w:numPr>
      </w:pPr>
      <w:r>
        <w:t xml:space="preserve">Event Driven Architecture.</w:t>
      </w:r>
    </w:p>
    <w:p>
      <w:pPr>
        <w:pStyle w:val="Compact"/>
        <w:numPr>
          <w:ilvl w:val="0"/>
          <w:numId w:val="1014"/>
        </w:numPr>
      </w:pPr>
      <w:r>
        <w:t xml:space="preserve">Background Jobs.</w:t>
      </w:r>
    </w:p>
    <w:p>
      <w:pPr>
        <w:pStyle w:val="Compact"/>
        <w:numPr>
          <w:ilvl w:val="0"/>
          <w:numId w:val="1014"/>
        </w:numPr>
      </w:pPr>
      <w:r>
        <w:t xml:space="preserve">Todos los dominios funcionales.</w:t>
      </w:r>
    </w:p>
    <w:p>
      <w:r>
        <w:pict>
          <v:rect style="width:0;height:1.5pt" o:hralign="center" o:hrstd="t" o:hr="t"/>
        </w:pict>
      </w:r>
    </w:p>
    <w:bookmarkEnd w:id="36"/>
    <w:bookmarkStart w:id="37" w:name="riesgos-1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5"/>
        </w:numPr>
      </w:pPr>
      <w:r>
        <w:t xml:space="preserve">Transacciones demasiado largas.</w:t>
      </w:r>
    </w:p>
    <w:p>
      <w:pPr>
        <w:pStyle w:val="Compact"/>
        <w:numPr>
          <w:ilvl w:val="0"/>
          <w:numId w:val="1015"/>
        </w:numPr>
      </w:pPr>
      <w:r>
        <w:t xml:space="preserve">Uso excesivo de reintentos.</w:t>
      </w:r>
    </w:p>
    <w:p>
      <w:pPr>
        <w:pStyle w:val="Compact"/>
        <w:numPr>
          <w:ilvl w:val="0"/>
          <w:numId w:val="1015"/>
        </w:numPr>
      </w:pPr>
      <w:r>
        <w:t xml:space="preserve">Operaciones no idempotentes.</w:t>
      </w:r>
    </w:p>
    <w:p>
      <w:pPr>
        <w:pStyle w:val="Compact"/>
        <w:numPr>
          <w:ilvl w:val="0"/>
          <w:numId w:val="1015"/>
        </w:numPr>
      </w:pPr>
      <w:r>
        <w:t xml:space="preserve">Dependencia del cliente para validar consistencia.</w:t>
      </w:r>
    </w:p>
    <w:p>
      <w:pPr>
        <w:pStyle w:val="FirstParagraph"/>
      </w:pPr>
      <w:r>
        <w:t xml:space="preserve">Toda operación nueva deberá revisarse desde la perspectiva de concurrencia.</w:t>
      </w:r>
    </w:p>
    <w:p>
      <w:r>
        <w:pict>
          <v:rect style="width:0;height:1.5pt" o:hralign="center" o:hrstd="t" o:hr="t"/>
        </w:pict>
      </w:r>
    </w:p>
    <w:bookmarkEnd w:id="37"/>
    <w:bookmarkStart w:id="38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6"/>
        </w:numPr>
      </w:pPr>
      <w:r>
        <w:t xml:space="preserve">Operaciones críticas identificadas.</w:t>
      </w:r>
    </w:p>
    <w:p>
      <w:pPr>
        <w:pStyle w:val="Compact"/>
        <w:numPr>
          <w:ilvl w:val="0"/>
          <w:numId w:val="1016"/>
        </w:numPr>
      </w:pPr>
      <w:r>
        <w:t xml:space="preserve">Estrategia de transacciones definida.</w:t>
      </w:r>
    </w:p>
    <w:p>
      <w:pPr>
        <w:pStyle w:val="Compact"/>
        <w:numPr>
          <w:ilvl w:val="0"/>
          <w:numId w:val="1016"/>
        </w:numPr>
      </w:pPr>
      <w:r>
        <w:t xml:space="preserve">Idempotencia documentada.</w:t>
      </w:r>
    </w:p>
    <w:p>
      <w:pPr>
        <w:pStyle w:val="Compact"/>
        <w:numPr>
          <w:ilvl w:val="0"/>
          <w:numId w:val="1016"/>
        </w:numPr>
      </w:pPr>
      <w:r>
        <w:t xml:space="preserve">Política de reintentos aprobada.</w:t>
      </w:r>
    </w:p>
    <w:p>
      <w:pPr>
        <w:pStyle w:val="Compact"/>
        <w:numPr>
          <w:ilvl w:val="0"/>
          <w:numId w:val="1016"/>
        </w:numPr>
      </w:pPr>
      <w:r>
        <w:t xml:space="preserve">Auditoría incluida.</w:t>
      </w:r>
    </w:p>
    <w:p>
      <w:pPr>
        <w:pStyle w:val="Compact"/>
        <w:numPr>
          <w:ilvl w:val="0"/>
          <w:numId w:val="1016"/>
        </w:numPr>
      </w:pPr>
      <w:r>
        <w:t xml:space="preserve">Observabilidad integrada.</w:t>
      </w:r>
    </w:p>
    <w:p>
      <w:r>
        <w:pict>
          <v:rect style="width:0;height:1.5pt" o:hralign="center" o:hrstd="t" o:hr="t"/>
        </w:pict>
      </w:r>
    </w:p>
    <w:bookmarkEnd w:id="38"/>
    <w:bookmarkStart w:id="39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7"/>
        </w:numPr>
      </w:pPr>
      <w:r>
        <w:t xml:space="preserve">FB002_FIRESTORE_REPOSITORY_PATTERN.md</w:t>
      </w:r>
    </w:p>
    <w:p>
      <w:pPr>
        <w:pStyle w:val="Compact"/>
        <w:numPr>
          <w:ilvl w:val="0"/>
          <w:numId w:val="1017"/>
        </w:numPr>
      </w:pPr>
      <w:r>
        <w:t xml:space="preserve">FB003_CLOUD_FUNCTIONS_ARCHITECTURE.md</w:t>
      </w:r>
    </w:p>
    <w:p>
      <w:pPr>
        <w:pStyle w:val="Compact"/>
        <w:numPr>
          <w:ilvl w:val="0"/>
          <w:numId w:val="1017"/>
        </w:numPr>
      </w:pPr>
      <w:r>
        <w:t xml:space="preserve">CORE002_ERROR_HANDLING_AND_RESULT_PATTERN.md</w:t>
      </w:r>
    </w:p>
    <w:p>
      <w:pPr>
        <w:pStyle w:val="Compact"/>
        <w:numPr>
          <w:ilvl w:val="0"/>
          <w:numId w:val="1017"/>
        </w:numPr>
      </w:pPr>
      <w:r>
        <w:t xml:space="preserve">APP005_CLOUD_FUNCTIONS_API_SPECIFICATION.md</w:t>
      </w:r>
    </w:p>
    <w:p>
      <w:pPr>
        <w:pStyle w:val="Compact"/>
        <w:numPr>
          <w:ilvl w:val="0"/>
          <w:numId w:val="1017"/>
        </w:numPr>
      </w:pPr>
      <w:r>
        <w:t xml:space="preserve">ORDERS (futuro)</w:t>
      </w:r>
    </w:p>
    <w:p>
      <w:pPr>
        <w:pStyle w:val="Compact"/>
        <w:numPr>
          <w:ilvl w:val="0"/>
          <w:numId w:val="1017"/>
        </w:numPr>
      </w:pPr>
      <w:r>
        <w:t xml:space="preserve">PAYMENTS (futuro)</w:t>
      </w:r>
    </w:p>
    <w:p>
      <w:r>
        <w:pict>
          <v:rect style="width:0;height:1.5pt" o:hralign="center" o:hrstd="t" o:hr="t"/>
        </w:pict>
      </w:r>
    </w:p>
    <w:bookmarkEnd w:id="39"/>
    <w:bookmarkStart w:id="40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estrategia oficial de concurrencia y consistencia de la plataforma.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2026-06-30T17:10:09Z</dcterms:created>
  <dcterms:modified xsi:type="dcterms:W3CDTF">2026-06-30T17:10:09Z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