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f7ca9c2134938a202f75e2e38da53db446a3e71"/>
    <w:p>
      <w:pPr>
        <w:pStyle w:val="Heading1"/>
      </w:pPr>
      <w:r>
        <w:t xml:space="preserve">CUSTOMER005 — CLOUD FUNCTIONS &amp; API SPECIFICATION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las operaciones de backend del dominio</w:t>
      </w:r>
      <w:r>
        <w:t xml:space="preserve"> </w:t>
      </w:r>
      <w:r>
        <w:rPr>
          <w:b/>
          <w:bCs/>
        </w:rPr>
        <w:t xml:space="preserve">Customers</w:t>
      </w:r>
      <w:r>
        <w:t xml:space="preserve">, especificando qué procesos deberán ejecutarse mediante Cloud Functions y cuáles podrán resolverse mediante consultas directas autorizadas a Firestore.</w:t>
      </w:r>
    </w:p>
    <w:p>
      <w:pPr>
        <w:pStyle w:val="BodyText"/>
      </w:pPr>
      <w:r>
        <w:t xml:space="preserve">El objetivo es proteger la lógica de negocio, garantizar la consistencia de los datos y mantener una arquitectura desacoplada.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Funciones Callable.</w:t>
      </w:r>
    </w:p>
    <w:p>
      <w:pPr>
        <w:pStyle w:val="Compact"/>
        <w:numPr>
          <w:ilvl w:val="0"/>
          <w:numId w:val="1001"/>
        </w:numPr>
      </w:pPr>
      <w:r>
        <w:t xml:space="preserve">Funciones HTTP (cuando sean necesarias).</w:t>
      </w:r>
    </w:p>
    <w:p>
      <w:pPr>
        <w:pStyle w:val="Compact"/>
        <w:numPr>
          <w:ilvl w:val="0"/>
          <w:numId w:val="1001"/>
        </w:numPr>
      </w:pPr>
      <w:r>
        <w:t xml:space="preserve">Triggers.</w:t>
      </w:r>
    </w:p>
    <w:p>
      <w:pPr>
        <w:pStyle w:val="Compact"/>
        <w:numPr>
          <w:ilvl w:val="0"/>
          <w:numId w:val="1001"/>
        </w:numPr>
      </w:pPr>
      <w:r>
        <w:t xml:space="preserve">Eventos.</w:t>
      </w:r>
    </w:p>
    <w:p>
      <w:pPr>
        <w:pStyle w:val="Compact"/>
        <w:numPr>
          <w:ilvl w:val="0"/>
          <w:numId w:val="1001"/>
        </w:numPr>
      </w:pPr>
      <w:r>
        <w:t xml:space="preserve">Validaciones.</w:t>
      </w:r>
    </w:p>
    <w:p>
      <w:pPr>
        <w:pStyle w:val="Compact"/>
        <w:numPr>
          <w:ilvl w:val="0"/>
          <w:numId w:val="1001"/>
        </w:numPr>
      </w:pPr>
      <w:r>
        <w:t xml:space="preserve">Integración con Security y Logging.</w:t>
      </w:r>
    </w:p>
    <w:p>
      <w:pPr>
        <w:pStyle w:val="FirstParagraph"/>
      </w:pPr>
      <w:r>
        <w:t xml:space="preserve">No incluye la implementación técnica.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Las operaciones deberán cumplir:</w:t>
      </w:r>
    </w:p>
    <w:p>
      <w:pPr>
        <w:pStyle w:val="Compact"/>
        <w:numPr>
          <w:ilvl w:val="0"/>
          <w:numId w:val="1002"/>
        </w:numPr>
      </w:pPr>
      <w:r>
        <w:t xml:space="preserve">Validación de identidad.</w:t>
      </w:r>
    </w:p>
    <w:p>
      <w:pPr>
        <w:pStyle w:val="Compact"/>
        <w:numPr>
          <w:ilvl w:val="0"/>
          <w:numId w:val="1002"/>
        </w:numPr>
      </w:pPr>
      <w:r>
        <w:t xml:space="preserve">Validación de permisos.</w:t>
      </w:r>
    </w:p>
    <w:p>
      <w:pPr>
        <w:pStyle w:val="Compact"/>
        <w:numPr>
          <w:ilvl w:val="0"/>
          <w:numId w:val="1002"/>
        </w:numPr>
      </w:pPr>
      <w:r>
        <w:t xml:space="preserve">Validación de organización.</w:t>
      </w:r>
    </w:p>
    <w:p>
      <w:pPr>
        <w:pStyle w:val="Compact"/>
        <w:numPr>
          <w:ilvl w:val="0"/>
          <w:numId w:val="1002"/>
        </w:numPr>
      </w:pPr>
      <w:r>
        <w:t xml:space="preserve">Auditoría.</w:t>
      </w:r>
    </w:p>
    <w:p>
      <w:pPr>
        <w:pStyle w:val="Compact"/>
        <w:numPr>
          <w:ilvl w:val="0"/>
          <w:numId w:val="1002"/>
        </w:numPr>
      </w:pPr>
      <w:r>
        <w:t xml:space="preserve">Idempotencia cuando corresponda.</w:t>
      </w:r>
    </w:p>
    <w:p>
      <w:pPr>
        <w:pStyle w:val="Compact"/>
        <w:numPr>
          <w:ilvl w:val="0"/>
          <w:numId w:val="1002"/>
        </w:numPr>
      </w:pPr>
      <w:r>
        <w:t xml:space="preserve">Result Pattern.</w:t>
      </w:r>
    </w:p>
    <w:p>
      <w:pPr>
        <w:pStyle w:val="Compact"/>
        <w:numPr>
          <w:ilvl w:val="0"/>
          <w:numId w:val="1002"/>
        </w:numPr>
      </w:pPr>
      <w:r>
        <w:t xml:space="preserve">Logging estructurado.</w:t>
      </w:r>
    </w:p>
    <w:p>
      <w:r>
        <w:pict>
          <v:rect style="width:0;height:1.5pt" o:hralign="center" o:hrstd="t" o:hr="t"/>
        </w:pict>
      </w:r>
    </w:p>
    <w:bookmarkEnd w:id="24"/>
    <w:bookmarkStart w:id="27" w:name="clasificación-de-operaciones"/>
    <w:p>
      <w:pPr>
        <w:pStyle w:val="Heading1"/>
      </w:pPr>
      <w:r>
        <w:t xml:space="preserve">Clasificación de Operaciones</w:t>
      </w:r>
    </w:p>
    <w:bookmarkStart w:id="25" w:name="lecturas"/>
    <w:p>
      <w:pPr>
        <w:pStyle w:val="Heading2"/>
      </w:pPr>
      <w:r>
        <w:t xml:space="preserve">Lecturas</w:t>
      </w:r>
    </w:p>
    <w:p>
      <w:pPr>
        <w:pStyle w:val="FirstParagraph"/>
      </w:pPr>
      <w:r>
        <w:t xml:space="preserve">Las consultas simples podrán realizarse directamente sobre Firestore mediante repositorios autorizados.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Obtener cliente.</w:t>
      </w:r>
    </w:p>
    <w:p>
      <w:pPr>
        <w:pStyle w:val="Compact"/>
        <w:numPr>
          <w:ilvl w:val="0"/>
          <w:numId w:val="1003"/>
        </w:numPr>
      </w:pPr>
      <w:r>
        <w:t xml:space="preserve">Buscar clientes.</w:t>
      </w:r>
    </w:p>
    <w:p>
      <w:pPr>
        <w:pStyle w:val="Compact"/>
        <w:numPr>
          <w:ilvl w:val="0"/>
          <w:numId w:val="1003"/>
        </w:numPr>
      </w:pPr>
      <w:r>
        <w:t xml:space="preserve">Consultar etiquetas.</w:t>
      </w:r>
    </w:p>
    <w:p>
      <w:pPr>
        <w:pStyle w:val="FirstParagraph"/>
      </w:pPr>
      <w:r>
        <w:t xml:space="preserve">Siempre respetando las reglas de seguridad de Firestore.</w:t>
      </w:r>
    </w:p>
    <w:p>
      <w:r>
        <w:pict>
          <v:rect style="width:0;height:1.5pt" o:hralign="center" o:hrstd="t" o:hr="t"/>
        </w:pict>
      </w:r>
    </w:p>
    <w:bookmarkEnd w:id="25"/>
    <w:bookmarkStart w:id="26" w:name="escrituras"/>
    <w:p>
      <w:pPr>
        <w:pStyle w:val="Heading2"/>
      </w:pPr>
      <w:r>
        <w:t xml:space="preserve">Escrituras</w:t>
      </w:r>
    </w:p>
    <w:p>
      <w:pPr>
        <w:pStyle w:val="FirstParagraph"/>
      </w:pPr>
      <w:r>
        <w:t xml:space="preserve">Toda operación que implique reglas de negocio deberá ejecutarse mediante Cloud Functions.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Crear cliente.</w:t>
      </w:r>
    </w:p>
    <w:p>
      <w:pPr>
        <w:pStyle w:val="Compact"/>
        <w:numPr>
          <w:ilvl w:val="0"/>
          <w:numId w:val="1004"/>
        </w:numPr>
      </w:pPr>
      <w:r>
        <w:t xml:space="preserve">Fusionar clientes.</w:t>
      </w:r>
    </w:p>
    <w:p>
      <w:pPr>
        <w:pStyle w:val="Compact"/>
        <w:numPr>
          <w:ilvl w:val="0"/>
          <w:numId w:val="1004"/>
        </w:numPr>
      </w:pPr>
      <w:r>
        <w:t xml:space="preserve">Archivar cliente.</w:t>
      </w:r>
    </w:p>
    <w:p>
      <w:pPr>
        <w:pStyle w:val="Compact"/>
        <w:numPr>
          <w:ilvl w:val="0"/>
          <w:numId w:val="1004"/>
        </w:numPr>
      </w:pPr>
      <w:r>
        <w:t xml:space="preserve">Restaurar cliente.</w:t>
      </w:r>
    </w:p>
    <w:p>
      <w:pPr>
        <w:pStyle w:val="Compact"/>
        <w:numPr>
          <w:ilvl w:val="0"/>
          <w:numId w:val="1004"/>
        </w:numPr>
      </w:pPr>
      <w:r>
        <w:t xml:space="preserve">Importar clientes.</w:t>
      </w:r>
    </w:p>
    <w:p>
      <w:pPr>
        <w:pStyle w:val="Compact"/>
        <w:numPr>
          <w:ilvl w:val="0"/>
          <w:numId w:val="1004"/>
        </w:numPr>
      </w:pPr>
      <w:r>
        <w:t xml:space="preserve">Exportar clientes.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funciones-callable"/>
    <w:p>
      <w:pPr>
        <w:pStyle w:val="Heading1"/>
      </w:pPr>
      <w:r>
        <w:t xml:space="preserve">Funciones Callable</w:t>
      </w:r>
    </w:p>
    <w:bookmarkStart w:id="31" w:name="createcustomer"/>
    <w:p>
      <w:pPr>
        <w:pStyle w:val="Heading2"/>
      </w:pPr>
      <w:r>
        <w:t xml:space="preserve">createCustomer</w:t>
      </w:r>
    </w:p>
    <w:bookmarkStart w:id="28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Registrar un nuevo cliente.</w:t>
      </w:r>
    </w:p>
    <w:bookmarkEnd w:id="28"/>
    <w:bookmarkStart w:id="29" w:name="validaciones"/>
    <w:p>
      <w:pPr>
        <w:pStyle w:val="Heading3"/>
      </w:pPr>
      <w:r>
        <w:t xml:space="preserve">Validaciones</w:t>
      </w:r>
    </w:p>
    <w:p>
      <w:pPr>
        <w:pStyle w:val="Compact"/>
        <w:numPr>
          <w:ilvl w:val="0"/>
          <w:numId w:val="1005"/>
        </w:numPr>
      </w:pPr>
      <w:r>
        <w:t xml:space="preserve">Usuario autenticado.</w:t>
      </w:r>
    </w:p>
    <w:p>
      <w:pPr>
        <w:pStyle w:val="Compact"/>
        <w:numPr>
          <w:ilvl w:val="0"/>
          <w:numId w:val="1005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customers.create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Organización válida.</w:t>
      </w:r>
    </w:p>
    <w:p>
      <w:pPr>
        <w:pStyle w:val="Compact"/>
        <w:numPr>
          <w:ilvl w:val="0"/>
          <w:numId w:val="1005"/>
        </w:numPr>
      </w:pPr>
      <w:r>
        <w:t xml:space="preserve">No duplicidad.</w:t>
      </w:r>
    </w:p>
    <w:bookmarkEnd w:id="29"/>
    <w:bookmarkStart w:id="30" w:name="resultado"/>
    <w:p>
      <w:pPr>
        <w:pStyle w:val="Heading3"/>
      </w:pPr>
      <w:r>
        <w:t xml:space="preserve">Resultado</w:t>
      </w:r>
    </w:p>
    <w:p>
      <w:pPr>
        <w:pStyle w:val="Compact"/>
        <w:numPr>
          <w:ilvl w:val="0"/>
          <w:numId w:val="1006"/>
        </w:numPr>
      </w:pPr>
      <w:r>
        <w:t xml:space="preserve">Cliente creado.</w:t>
      </w:r>
    </w:p>
    <w:p>
      <w:pPr>
        <w:pStyle w:val="Compact"/>
        <w:numPr>
          <w:ilvl w:val="0"/>
          <w:numId w:val="1006"/>
        </w:numPr>
      </w:pPr>
      <w:r>
        <w:t xml:space="preserve">Evento emitido.</w:t>
      </w:r>
    </w:p>
    <w:p>
      <w:pPr>
        <w:pStyle w:val="Compact"/>
        <w:numPr>
          <w:ilvl w:val="0"/>
          <w:numId w:val="1006"/>
        </w:numPr>
      </w:pPr>
      <w:r>
        <w:t xml:space="preserve">Auditoría registrada.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updatecustomer"/>
    <w:p>
      <w:pPr>
        <w:pStyle w:val="Heading2"/>
      </w:pPr>
      <w:r>
        <w:t xml:space="preserve">updateCustomer</w:t>
      </w:r>
    </w:p>
    <w:p>
      <w:pPr>
        <w:pStyle w:val="FirstParagraph"/>
      </w:pPr>
      <w:r>
        <w:t xml:space="preserve">Permite actualizar información autorizada del cliente.</w:t>
      </w:r>
    </w:p>
    <w:p>
      <w:pPr>
        <w:pStyle w:val="BodyText"/>
      </w:pPr>
      <w:r>
        <w:t xml:space="preserve">No permitirá modificar:</w:t>
      </w:r>
    </w:p>
    <w:p>
      <w:pPr>
        <w:pStyle w:val="Compact"/>
        <w:numPr>
          <w:ilvl w:val="0"/>
          <w:numId w:val="1007"/>
        </w:numPr>
      </w:pPr>
      <w:r>
        <w:t xml:space="preserve">organizationId</w:t>
      </w:r>
    </w:p>
    <w:p>
      <w:pPr>
        <w:pStyle w:val="Compact"/>
        <w:numPr>
          <w:ilvl w:val="0"/>
          <w:numId w:val="1007"/>
        </w:numPr>
      </w:pPr>
      <w:r>
        <w:t xml:space="preserve">identityId</w:t>
      </w:r>
    </w:p>
    <w:p>
      <w:pPr>
        <w:pStyle w:val="Compact"/>
        <w:numPr>
          <w:ilvl w:val="0"/>
          <w:numId w:val="1007"/>
        </w:numPr>
      </w:pPr>
      <w:r>
        <w:t xml:space="preserve">createdAt</w:t>
      </w:r>
    </w:p>
    <w:p>
      <w:pPr>
        <w:pStyle w:val="Compact"/>
        <w:numPr>
          <w:ilvl w:val="0"/>
          <w:numId w:val="1007"/>
        </w:numPr>
      </w:pPr>
      <w:r>
        <w:t xml:space="preserve">createdBy</w:t>
      </w:r>
    </w:p>
    <w:p>
      <w:r>
        <w:pict>
          <v:rect style="width:0;height:1.5pt" o:hralign="center" o:hrstd="t" o:hr="t"/>
        </w:pict>
      </w:r>
    </w:p>
    <w:bookmarkEnd w:id="32"/>
    <w:bookmarkStart w:id="33" w:name="archivecustomer"/>
    <w:p>
      <w:pPr>
        <w:pStyle w:val="Heading2"/>
      </w:pPr>
      <w:r>
        <w:t xml:space="preserve">archiveCustomer</w:t>
      </w:r>
    </w:p>
    <w:p>
      <w:pPr>
        <w:pStyle w:val="FirstParagraph"/>
      </w:pPr>
      <w:r>
        <w:t xml:space="preserve">Archiva lógicamente un cliente.</w:t>
      </w:r>
    </w:p>
    <w:p>
      <w:pPr>
        <w:pStyle w:val="BodyText"/>
      </w:pPr>
      <w:r>
        <w:t xml:space="preserve">Antes de archivar se verificará:</w:t>
      </w:r>
    </w:p>
    <w:p>
      <w:pPr>
        <w:pStyle w:val="Compact"/>
        <w:numPr>
          <w:ilvl w:val="0"/>
          <w:numId w:val="1008"/>
        </w:numPr>
      </w:pPr>
      <w:r>
        <w:t xml:space="preserve">Citas pendientes.</w:t>
      </w:r>
    </w:p>
    <w:p>
      <w:pPr>
        <w:pStyle w:val="Compact"/>
        <w:numPr>
          <w:ilvl w:val="0"/>
          <w:numId w:val="1008"/>
        </w:numPr>
      </w:pPr>
      <w:r>
        <w:t xml:space="preserve">Pedidos abiertos.</w:t>
      </w:r>
    </w:p>
    <w:p>
      <w:pPr>
        <w:pStyle w:val="Compact"/>
        <w:numPr>
          <w:ilvl w:val="0"/>
          <w:numId w:val="1008"/>
        </w:numPr>
      </w:pPr>
      <w:r>
        <w:t xml:space="preserve">Restricciones definidas por otros dominios.</w:t>
      </w:r>
    </w:p>
    <w:p>
      <w:r>
        <w:pict>
          <v:rect style="width:0;height:1.5pt" o:hralign="center" o:hrstd="t" o:hr="t"/>
        </w:pict>
      </w:r>
    </w:p>
    <w:bookmarkEnd w:id="33"/>
    <w:bookmarkStart w:id="34" w:name="restorecustomer"/>
    <w:p>
      <w:pPr>
        <w:pStyle w:val="Heading2"/>
      </w:pPr>
      <w:r>
        <w:t xml:space="preserve">restoreCustomer</w:t>
      </w:r>
    </w:p>
    <w:p>
      <w:pPr>
        <w:pStyle w:val="FirstParagraph"/>
      </w:pPr>
      <w:r>
        <w:t xml:space="preserve">Reactiva un cliente archivado.</w:t>
      </w:r>
    </w:p>
    <w:p>
      <w:r>
        <w:pict>
          <v:rect style="width:0;height:1.5pt" o:hralign="center" o:hrstd="t" o:hr="t"/>
        </w:pict>
      </w:r>
    </w:p>
    <w:bookmarkEnd w:id="34"/>
    <w:bookmarkStart w:id="35" w:name="mergecustomers"/>
    <w:p>
      <w:pPr>
        <w:pStyle w:val="Heading2"/>
      </w:pPr>
      <w:r>
        <w:t xml:space="preserve">mergeCustomers</w:t>
      </w:r>
    </w:p>
    <w:p>
      <w:pPr>
        <w:pStyle w:val="FirstParagraph"/>
      </w:pPr>
      <w:r>
        <w:t xml:space="preserve">Fusiona dos registros de clientes.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9"/>
        </w:numPr>
      </w:pPr>
      <w:r>
        <w:t xml:space="preserve">Consolidar información.</w:t>
      </w:r>
    </w:p>
    <w:p>
      <w:pPr>
        <w:pStyle w:val="Compact"/>
        <w:numPr>
          <w:ilvl w:val="0"/>
          <w:numId w:val="1009"/>
        </w:numPr>
      </w:pPr>
      <w:r>
        <w:t xml:space="preserve">Reasignar referencias.</w:t>
      </w:r>
    </w:p>
    <w:p>
      <w:pPr>
        <w:pStyle w:val="Compact"/>
        <w:numPr>
          <w:ilvl w:val="0"/>
          <w:numId w:val="1009"/>
        </w:numPr>
      </w:pPr>
      <w:r>
        <w:t xml:space="preserve">Registrar auditoría completa.</w:t>
      </w:r>
    </w:p>
    <w:p>
      <w:pPr>
        <w:pStyle w:val="FirstParagraph"/>
      </w:pPr>
      <w:r>
        <w:t xml:space="preserve">Esta operación requerirá permisos elevados.</w:t>
      </w:r>
    </w:p>
    <w:p>
      <w:r>
        <w:pict>
          <v:rect style="width:0;height:1.5pt" o:hralign="center" o:hrstd="t" o:hr="t"/>
        </w:pict>
      </w:r>
    </w:p>
    <w:bookmarkEnd w:id="35"/>
    <w:bookmarkStart w:id="36" w:name="importcustomers"/>
    <w:p>
      <w:pPr>
        <w:pStyle w:val="Heading2"/>
      </w:pPr>
      <w:r>
        <w:t xml:space="preserve">importCustomers</w:t>
      </w:r>
    </w:p>
    <w:p>
      <w:pPr>
        <w:pStyle w:val="FirstParagraph"/>
      </w:pPr>
      <w:r>
        <w:t xml:space="preserve">Procesa un archivo de importación.</w:t>
      </w:r>
    </w:p>
    <w:p>
      <w:pPr>
        <w:pStyle w:val="BodyText"/>
      </w:pPr>
      <w:r>
        <w:t xml:space="preserve">Flujo:</w:t>
      </w:r>
    </w:p>
    <w:p>
      <w:pPr>
        <w:pStyle w:val="Compact"/>
        <w:numPr>
          <w:ilvl w:val="0"/>
          <w:numId w:val="1010"/>
        </w:numPr>
      </w:pPr>
      <w:r>
        <w:t xml:space="preserve">Validar formato.</w:t>
      </w:r>
    </w:p>
    <w:p>
      <w:pPr>
        <w:pStyle w:val="Compact"/>
        <w:numPr>
          <w:ilvl w:val="0"/>
          <w:numId w:val="1010"/>
        </w:numPr>
      </w:pPr>
      <w:r>
        <w:t xml:space="preserve">Analizar registros.</w:t>
      </w:r>
    </w:p>
    <w:p>
      <w:pPr>
        <w:pStyle w:val="Compact"/>
        <w:numPr>
          <w:ilvl w:val="0"/>
          <w:numId w:val="1010"/>
        </w:numPr>
      </w:pPr>
      <w:r>
        <w:t xml:space="preserve">Detectar duplicados.</w:t>
      </w:r>
    </w:p>
    <w:p>
      <w:pPr>
        <w:pStyle w:val="Compact"/>
        <w:numPr>
          <w:ilvl w:val="0"/>
          <w:numId w:val="1010"/>
        </w:numPr>
      </w:pPr>
      <w:r>
        <w:t xml:space="preserve">Generar informe previo.</w:t>
      </w:r>
    </w:p>
    <w:p>
      <w:pPr>
        <w:pStyle w:val="Compact"/>
        <w:numPr>
          <w:ilvl w:val="0"/>
          <w:numId w:val="1010"/>
        </w:numPr>
      </w:pPr>
      <w:r>
        <w:t xml:space="preserve">Confirmar importación.</w:t>
      </w:r>
    </w:p>
    <w:p>
      <w:pPr>
        <w:pStyle w:val="Compact"/>
        <w:numPr>
          <w:ilvl w:val="0"/>
          <w:numId w:val="1010"/>
        </w:numPr>
      </w:pPr>
      <w:r>
        <w:t xml:space="preserve">Registrar resultados.</w:t>
      </w:r>
    </w:p>
    <w:p>
      <w:r>
        <w:pict>
          <v:rect style="width:0;height:1.5pt" o:hralign="center" o:hrstd="t" o:hr="t"/>
        </w:pict>
      </w:r>
    </w:p>
    <w:bookmarkEnd w:id="36"/>
    <w:bookmarkStart w:id="37" w:name="exportcustomers"/>
    <w:p>
      <w:pPr>
        <w:pStyle w:val="Heading2"/>
      </w:pPr>
      <w:r>
        <w:t xml:space="preserve">exportCustomers</w:t>
      </w:r>
    </w:p>
    <w:p>
      <w:pPr>
        <w:pStyle w:val="FirstParagraph"/>
      </w:pPr>
      <w:r>
        <w:t xml:space="preserve">Genera una exportación según filtros autorizados.</w:t>
      </w:r>
    </w:p>
    <w:p>
      <w:pPr>
        <w:pStyle w:val="BodyText"/>
      </w:pPr>
      <w:r>
        <w:t xml:space="preserve">Características:</w:t>
      </w:r>
    </w:p>
    <w:p>
      <w:pPr>
        <w:pStyle w:val="Compact"/>
        <w:numPr>
          <w:ilvl w:val="0"/>
          <w:numId w:val="1011"/>
        </w:numPr>
      </w:pPr>
      <w:r>
        <w:t xml:space="preserve">Formato extensible.</w:t>
      </w:r>
    </w:p>
    <w:p>
      <w:pPr>
        <w:pStyle w:val="Compact"/>
        <w:numPr>
          <w:ilvl w:val="0"/>
          <w:numId w:val="1011"/>
        </w:numPr>
      </w:pPr>
      <w:r>
        <w:t xml:space="preserve">Auditoría obligatoria.</w:t>
      </w:r>
    </w:p>
    <w:p>
      <w:pPr>
        <w:pStyle w:val="Compact"/>
        <w:numPr>
          <w:ilvl w:val="0"/>
          <w:numId w:val="1011"/>
        </w:numPr>
      </w:pPr>
      <w:r>
        <w:t xml:space="preserve">Restricción por permisos.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riggers"/>
    <w:p>
      <w:pPr>
        <w:pStyle w:val="Heading1"/>
      </w:pPr>
      <w:r>
        <w:t xml:space="preserve">Triggers</w:t>
      </w:r>
    </w:p>
    <w:bookmarkStart w:id="39" w:name="oncustomercreated"/>
    <w:p>
      <w:pPr>
        <w:pStyle w:val="Heading2"/>
      </w:pPr>
      <w:r>
        <w:t xml:space="preserve">onCustomerCreated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2"/>
        </w:numPr>
      </w:pPr>
      <w:r>
        <w:t xml:space="preserve">Registrar evento.</w:t>
      </w:r>
    </w:p>
    <w:p>
      <w:pPr>
        <w:pStyle w:val="Compact"/>
        <w:numPr>
          <w:ilvl w:val="0"/>
          <w:numId w:val="1012"/>
        </w:numPr>
      </w:pPr>
      <w:r>
        <w:t xml:space="preserve">Inicializar datos derivados.</w:t>
      </w:r>
    </w:p>
    <w:p>
      <w:pPr>
        <w:pStyle w:val="Compact"/>
        <w:numPr>
          <w:ilvl w:val="0"/>
          <w:numId w:val="1012"/>
        </w:numPr>
      </w:pPr>
      <w:r>
        <w:t xml:space="preserve">Notificar a módulos suscriptores.</w:t>
      </w:r>
    </w:p>
    <w:p>
      <w:r>
        <w:pict>
          <v:rect style="width:0;height:1.5pt" o:hralign="center" o:hrstd="t" o:hr="t"/>
        </w:pict>
      </w:r>
    </w:p>
    <w:bookmarkEnd w:id="39"/>
    <w:bookmarkStart w:id="40" w:name="oncustomerupdated"/>
    <w:p>
      <w:pPr>
        <w:pStyle w:val="Heading2"/>
      </w:pPr>
      <w:r>
        <w:t xml:space="preserve">onCustomerUpdated</w:t>
      </w:r>
    </w:p>
    <w:p>
      <w:pPr>
        <w:pStyle w:val="FirstParagraph"/>
      </w:pPr>
      <w:r>
        <w:t xml:space="preserve">Permite reaccionar a cambios relevantes.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3"/>
        </w:numPr>
      </w:pPr>
      <w:r>
        <w:t xml:space="preserve">Actualizar segmentaciones.</w:t>
      </w:r>
    </w:p>
    <w:p>
      <w:pPr>
        <w:pStyle w:val="Compact"/>
        <w:numPr>
          <w:ilvl w:val="0"/>
          <w:numId w:val="1013"/>
        </w:numPr>
      </w:pPr>
      <w:r>
        <w:t xml:space="preserve">Recalcular métricas.</w:t>
      </w:r>
    </w:p>
    <w:p>
      <w:pPr>
        <w:pStyle w:val="Compact"/>
        <w:numPr>
          <w:ilvl w:val="0"/>
          <w:numId w:val="1013"/>
        </w:numPr>
      </w:pPr>
      <w:r>
        <w:t xml:space="preserve">Informar a Analítica.</w:t>
      </w:r>
    </w:p>
    <w:p>
      <w:r>
        <w:pict>
          <v:rect style="width:0;height:1.5pt" o:hralign="center" o:hrstd="t" o:hr="t"/>
        </w:pict>
      </w:r>
    </w:p>
    <w:bookmarkEnd w:id="40"/>
    <w:bookmarkStart w:id="41" w:name="oncustomerarchived"/>
    <w:p>
      <w:pPr>
        <w:pStyle w:val="Heading2"/>
      </w:pPr>
      <w:r>
        <w:t xml:space="preserve">onCustomerArchived</w:t>
      </w:r>
    </w:p>
    <w:p>
      <w:pPr>
        <w:pStyle w:val="FirstParagraph"/>
      </w:pPr>
      <w:r>
        <w:t xml:space="preserve">Sincroniza el cambio con módulos dependientes.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integraciones"/>
    <w:p>
      <w:pPr>
        <w:pStyle w:val="Heading1"/>
      </w:pPr>
      <w:r>
        <w:t xml:space="preserve">Integraciones</w:t>
      </w:r>
    </w:p>
    <w:bookmarkStart w:id="43" w:name="crm"/>
    <w:p>
      <w:pPr>
        <w:pStyle w:val="Heading2"/>
      </w:pPr>
      <w:r>
        <w:t xml:space="preserve">CRM</w:t>
      </w:r>
    </w:p>
    <w:p>
      <w:pPr>
        <w:pStyle w:val="FirstParagraph"/>
      </w:pPr>
      <w:r>
        <w:t xml:space="preserve">Actualización de segmentos.</w:t>
      </w:r>
    </w:p>
    <w:bookmarkEnd w:id="43"/>
    <w:bookmarkStart w:id="44" w:name="marketing"/>
    <w:p>
      <w:pPr>
        <w:pStyle w:val="Heading2"/>
      </w:pPr>
      <w:r>
        <w:t xml:space="preserve">Marketing</w:t>
      </w:r>
    </w:p>
    <w:p>
      <w:pPr>
        <w:pStyle w:val="FirstParagraph"/>
      </w:pPr>
      <w:r>
        <w:t xml:space="preserve">Sincronización de campañas.</w:t>
      </w:r>
    </w:p>
    <w:bookmarkEnd w:id="44"/>
    <w:bookmarkStart w:id="45" w:name="loyalty"/>
    <w:p>
      <w:pPr>
        <w:pStyle w:val="Heading2"/>
      </w:pPr>
      <w:r>
        <w:t xml:space="preserve">Loyalty</w:t>
      </w:r>
    </w:p>
    <w:p>
      <w:pPr>
        <w:pStyle w:val="FirstParagraph"/>
      </w:pPr>
      <w:r>
        <w:t xml:space="preserve">Inicialización de beneficios.</w:t>
      </w:r>
    </w:p>
    <w:bookmarkEnd w:id="45"/>
    <w:bookmarkStart w:id="46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Actualización de indicadores.</w:t>
      </w:r>
    </w:p>
    <w:bookmarkEnd w:id="46"/>
    <w:bookmarkStart w:id="47" w:name="ia"/>
    <w:p>
      <w:pPr>
        <w:pStyle w:val="Heading2"/>
      </w:pPr>
      <w:r>
        <w:t xml:space="preserve">IA</w:t>
      </w:r>
    </w:p>
    <w:p>
      <w:pPr>
        <w:pStyle w:val="FirstParagraph"/>
      </w:pPr>
      <w:r>
        <w:t xml:space="preserve">Notificación para recalcular recomendaciones.</w:t>
      </w:r>
    </w:p>
    <w:p>
      <w:pPr>
        <w:pStyle w:val="BodyText"/>
      </w:pPr>
      <w:r>
        <w:t xml:space="preserve">Las integraciones se realizarán mediante eventos o servicios bien definidos, evitando dependencias directas.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Todas las funciones deberán:</w:t>
      </w:r>
    </w:p>
    <w:p>
      <w:pPr>
        <w:pStyle w:val="Compact"/>
        <w:numPr>
          <w:ilvl w:val="0"/>
          <w:numId w:val="1014"/>
        </w:numPr>
      </w:pPr>
      <w:r>
        <w:t xml:space="preserve">Validar identidad.</w:t>
      </w:r>
    </w:p>
    <w:p>
      <w:pPr>
        <w:pStyle w:val="Compact"/>
        <w:numPr>
          <w:ilvl w:val="0"/>
          <w:numId w:val="1014"/>
        </w:numPr>
      </w:pPr>
      <w:r>
        <w:t xml:space="preserve">Validar permisos.</w:t>
      </w:r>
    </w:p>
    <w:p>
      <w:pPr>
        <w:pStyle w:val="Compact"/>
        <w:numPr>
          <w:ilvl w:val="0"/>
          <w:numId w:val="1014"/>
        </w:numPr>
      </w:pPr>
      <w:r>
        <w:t xml:space="preserve">Validar organización.</w:t>
      </w:r>
    </w:p>
    <w:p>
      <w:pPr>
        <w:pStyle w:val="Compact"/>
        <w:numPr>
          <w:ilvl w:val="0"/>
          <w:numId w:val="1014"/>
        </w:numPr>
      </w:pPr>
      <w:r>
        <w:t xml:space="preserve">Validar integridad de datos.</w:t>
      </w:r>
    </w:p>
    <w:p>
      <w:pPr>
        <w:pStyle w:val="Compact"/>
        <w:numPr>
          <w:ilvl w:val="0"/>
          <w:numId w:val="1014"/>
        </w:numPr>
      </w:pPr>
      <w:r>
        <w:t xml:space="preserve">Registrar operaciones críticas.</w:t>
      </w:r>
    </w:p>
    <w:p>
      <w:r>
        <w:pict>
          <v:rect style="width:0;height:1.5pt" o:hralign="center" o:hrstd="t" o:hr="t"/>
        </w:pict>
      </w:r>
    </w:p>
    <w:bookmarkEnd w:id="49"/>
    <w:bookmarkStart w:id="50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Cada operación registrará:</w:t>
      </w:r>
    </w:p>
    <w:p>
      <w:pPr>
        <w:pStyle w:val="Compact"/>
        <w:numPr>
          <w:ilvl w:val="0"/>
          <w:numId w:val="1015"/>
        </w:numPr>
      </w:pPr>
      <w:r>
        <w:t xml:space="preserve">Correlation ID.</w:t>
      </w:r>
    </w:p>
    <w:p>
      <w:pPr>
        <w:pStyle w:val="Compact"/>
        <w:numPr>
          <w:ilvl w:val="0"/>
          <w:numId w:val="1015"/>
        </w:numPr>
      </w:pPr>
      <w:r>
        <w:t xml:space="preserve">Usuario.</w:t>
      </w:r>
    </w:p>
    <w:p>
      <w:pPr>
        <w:pStyle w:val="Compact"/>
        <w:numPr>
          <w:ilvl w:val="0"/>
          <w:numId w:val="1015"/>
        </w:numPr>
      </w:pPr>
      <w:r>
        <w:t xml:space="preserve">Organización.</w:t>
      </w:r>
    </w:p>
    <w:p>
      <w:pPr>
        <w:pStyle w:val="Compact"/>
        <w:numPr>
          <w:ilvl w:val="0"/>
          <w:numId w:val="1015"/>
        </w:numPr>
      </w:pPr>
      <w:r>
        <w:t xml:space="preserve">Duración.</w:t>
      </w:r>
    </w:p>
    <w:p>
      <w:pPr>
        <w:pStyle w:val="Compact"/>
        <w:numPr>
          <w:ilvl w:val="0"/>
          <w:numId w:val="1015"/>
        </w:numPr>
      </w:pPr>
      <w:r>
        <w:t xml:space="preserve">Resultado.</w:t>
      </w:r>
    </w:p>
    <w:p>
      <w:pPr>
        <w:pStyle w:val="Compact"/>
        <w:numPr>
          <w:ilvl w:val="0"/>
          <w:numId w:val="1015"/>
        </w:numPr>
      </w:pPr>
      <w:r>
        <w:t xml:space="preserve">Errores.</w:t>
      </w:r>
    </w:p>
    <w:p>
      <w:r>
        <w:pict>
          <v:rect style="width:0;height:1.5pt" o:hralign="center" o:hrstd="t" o:hr="t"/>
        </w:pict>
      </w:r>
    </w:p>
    <w:bookmarkEnd w:id="50"/>
    <w:bookmarkStart w:id="51" w:name="manejo-de-errores"/>
    <w:p>
      <w:pPr>
        <w:pStyle w:val="Heading1"/>
      </w:pPr>
      <w:r>
        <w:t xml:space="preserve">Manejo de Errores</w:t>
      </w:r>
    </w:p>
    <w:p>
      <w:pPr>
        <w:pStyle w:val="FirstParagraph"/>
      </w:pPr>
      <w:r>
        <w:t xml:space="preserve">Los errores deberán transformarse mediante el Result Pattern definido en CORE002.</w:t>
      </w:r>
    </w:p>
    <w:p>
      <w:pPr>
        <w:pStyle w:val="BodyText"/>
      </w:pPr>
      <w:r>
        <w:t xml:space="preserve">No se devolverán errores internos del proveedor de infraestructura.</w:t>
      </w:r>
    </w:p>
    <w:p>
      <w:r>
        <w:pict>
          <v:rect style="width:0;height:1.5pt" o:hralign="center" o:hrstd="t" o:hr="t"/>
        </w:pict>
      </w:r>
    </w:p>
    <w:bookmarkEnd w:id="51"/>
    <w:bookmarkStart w:id="52" w:name="versionado"/>
    <w:p>
      <w:pPr>
        <w:pStyle w:val="Heading1"/>
      </w:pPr>
      <w:r>
        <w:t xml:space="preserve">Versionado</w:t>
      </w:r>
    </w:p>
    <w:p>
      <w:pPr>
        <w:pStyle w:val="FirstParagraph"/>
      </w:pPr>
      <w:r>
        <w:t xml:space="preserve">Las operaciones públicas deberán mantener compatibilidad con versiones anteriores siempre que sea posible.</w:t>
      </w:r>
    </w:p>
    <w:p>
      <w:pPr>
        <w:pStyle w:val="BodyText"/>
      </w:pPr>
      <w:r>
        <w:t xml:space="preserve">Los cambios incompatibles requerirán un plan de migración documentado.</w:t>
      </w:r>
    </w:p>
    <w:p>
      <w:r>
        <w:pict>
          <v:rect style="width:0;height:1.5pt" o:hralign="center" o:hrstd="t" o:hr="t"/>
        </w:pict>
      </w:r>
    </w:p>
    <w:bookmarkEnd w:id="52"/>
    <w:bookmarkStart w:id="53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6"/>
        </w:numPr>
      </w:pPr>
      <w:r>
        <w:t xml:space="preserve">Lógica de negocio ejecutada en el cliente.</w:t>
      </w:r>
    </w:p>
    <w:p>
      <w:pPr>
        <w:pStyle w:val="Compact"/>
        <w:numPr>
          <w:ilvl w:val="0"/>
          <w:numId w:val="1016"/>
        </w:numPr>
      </w:pPr>
      <w:r>
        <w:t xml:space="preserve">Funciones demasiado grandes.</w:t>
      </w:r>
    </w:p>
    <w:p>
      <w:pPr>
        <w:pStyle w:val="Compact"/>
        <w:numPr>
          <w:ilvl w:val="0"/>
          <w:numId w:val="1016"/>
        </w:numPr>
      </w:pPr>
      <w:r>
        <w:t xml:space="preserve">Dependencias circulares entre dominios.</w:t>
      </w:r>
    </w:p>
    <w:p>
      <w:pPr>
        <w:pStyle w:val="Compact"/>
        <w:numPr>
          <w:ilvl w:val="0"/>
          <w:numId w:val="1016"/>
        </w:numPr>
      </w:pPr>
      <w:r>
        <w:t xml:space="preserve">Falta de idempotencia en operaciones críticas.</w:t>
      </w:r>
    </w:p>
    <w:p>
      <w:r>
        <w:pict>
          <v:rect style="width:0;height:1.5pt" o:hralign="center" o:hrstd="t" o:hr="t"/>
        </w:pict>
      </w:r>
    </w:p>
    <w:bookmarkEnd w:id="53"/>
    <w:bookmarkStart w:id="54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7"/>
        </w:numPr>
      </w:pPr>
      <w:r>
        <w:t xml:space="preserve">Operaciones clasificadas.</w:t>
      </w:r>
    </w:p>
    <w:p>
      <w:pPr>
        <w:pStyle w:val="Compact"/>
        <w:numPr>
          <w:ilvl w:val="0"/>
          <w:numId w:val="1017"/>
        </w:numPr>
      </w:pPr>
      <w:r>
        <w:t xml:space="preserve">Funciones Callable definidas.</w:t>
      </w:r>
    </w:p>
    <w:p>
      <w:pPr>
        <w:pStyle w:val="Compact"/>
        <w:numPr>
          <w:ilvl w:val="0"/>
          <w:numId w:val="1017"/>
        </w:numPr>
      </w:pPr>
      <w:r>
        <w:t xml:space="preserve">Triggers documentados.</w:t>
      </w:r>
    </w:p>
    <w:p>
      <w:pPr>
        <w:pStyle w:val="Compact"/>
        <w:numPr>
          <w:ilvl w:val="0"/>
          <w:numId w:val="1017"/>
        </w:numPr>
      </w:pPr>
      <w:r>
        <w:t xml:space="preserve">Integraciones identificadas.</w:t>
      </w:r>
    </w:p>
    <w:p>
      <w:pPr>
        <w:pStyle w:val="Compact"/>
        <w:numPr>
          <w:ilvl w:val="0"/>
          <w:numId w:val="1017"/>
        </w:numPr>
      </w:pPr>
      <w:r>
        <w:t xml:space="preserve">Validaciones definidas.</w:t>
      </w:r>
    </w:p>
    <w:p>
      <w:pPr>
        <w:pStyle w:val="Compact"/>
        <w:numPr>
          <w:ilvl w:val="0"/>
          <w:numId w:val="1017"/>
        </w:numPr>
      </w:pPr>
      <w:r>
        <w:t xml:space="preserve">Observabilidad incluida.</w:t>
      </w:r>
    </w:p>
    <w:p>
      <w:pPr>
        <w:pStyle w:val="Compact"/>
        <w:numPr>
          <w:ilvl w:val="0"/>
          <w:numId w:val="1017"/>
        </w:numPr>
      </w:pPr>
      <w:r>
        <w:t xml:space="preserve">Estrategia de errores aprobada.</w:t>
      </w:r>
    </w:p>
    <w:p>
      <w:r>
        <w:pict>
          <v:rect style="width:0;height:1.5pt" o:hralign="center" o:hrstd="t" o:hr="t"/>
        </w:pict>
      </w:r>
    </w:p>
    <w:bookmarkEnd w:id="54"/>
    <w:bookmarkStart w:id="55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CUSTOMER001_DOMAIN_ARCHITECTURE.md</w:t>
      </w:r>
    </w:p>
    <w:p>
      <w:pPr>
        <w:pStyle w:val="Compact"/>
        <w:numPr>
          <w:ilvl w:val="0"/>
          <w:numId w:val="1018"/>
        </w:numPr>
      </w:pPr>
      <w:r>
        <w:t xml:space="preserve">CUSTOMER003_CUSTOMER_USE_CASES.md</w:t>
      </w:r>
    </w:p>
    <w:p>
      <w:pPr>
        <w:pStyle w:val="Compact"/>
        <w:numPr>
          <w:ilvl w:val="0"/>
          <w:numId w:val="1018"/>
        </w:numPr>
      </w:pPr>
      <w:r>
        <w:t xml:space="preserve">FB003_CLOUD_FUNCTIONS_ARCHITECTURE.md</w:t>
      </w:r>
    </w:p>
    <w:p>
      <w:pPr>
        <w:pStyle w:val="Compact"/>
        <w:numPr>
          <w:ilvl w:val="0"/>
          <w:numId w:val="1018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18"/>
        </w:numPr>
      </w:pPr>
      <w:r>
        <w:t xml:space="preserve">CORE002_ERROR_HANDLING_AND_RESULT_PATTERN.md</w:t>
      </w:r>
    </w:p>
    <w:p>
      <w:pPr>
        <w:pStyle w:val="Compact"/>
        <w:numPr>
          <w:ilvl w:val="0"/>
          <w:numId w:val="1018"/>
        </w:numPr>
      </w:pPr>
      <w:r>
        <w:t xml:space="preserve">CORE003_LOGGING_AND_OBSERVABILITY_ARCHITECTURE.md</w:t>
      </w:r>
    </w:p>
    <w:p>
      <w:r>
        <w:pict>
          <v:rect style="width:0;height:1.5pt" o:hralign="center" o:hrstd="t" o:hr="t"/>
        </w:pict>
      </w:r>
    </w:p>
    <w:bookmarkEnd w:id="55"/>
    <w:bookmarkStart w:id="56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backend del dominio Customers.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2026-06-30T17:03:57Z</dcterms:created>
  <dcterms:modified xsi:type="dcterms:W3CDTF">2026-06-30T17:03:57Z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