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ui001-design-token-system"/>
    <w:p>
      <w:pPr>
        <w:pStyle w:val="Heading1"/>
      </w:pPr>
      <w:r>
        <w:t xml:space="preserve">UI001 — DESIGN TOKEN SYSTEM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el sistema oficial de Design Tokens de la plataforma.</w:t>
      </w:r>
    </w:p>
    <w:p>
      <w:pPr>
        <w:pStyle w:val="BodyText"/>
      </w:pPr>
      <w:r>
        <w:t xml:space="preserve">Los Design Tokens constituyen la única fuente de verdad para todos los valores visuales de la interfaz.</w:t>
      </w:r>
    </w:p>
    <w:p>
      <w:pPr>
        <w:pStyle w:val="BodyText"/>
      </w:pPr>
      <w:r>
        <w:t xml:space="preserve">Ningún componente podrá utilizar valores visuales codificados directamente (hardcoded).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Este documento aplica a:</w:t>
      </w:r>
    </w:p>
    <w:p>
      <w:pPr>
        <w:pStyle w:val="Compact"/>
        <w:numPr>
          <w:ilvl w:val="0"/>
          <w:numId w:val="1001"/>
        </w:numPr>
      </w:pPr>
      <w:r>
        <w:t xml:space="preserve">packages/ui</w:t>
      </w:r>
    </w:p>
    <w:p>
      <w:pPr>
        <w:pStyle w:val="Compact"/>
        <w:numPr>
          <w:ilvl w:val="0"/>
          <w:numId w:val="1001"/>
        </w:numPr>
      </w:pPr>
      <w:r>
        <w:t xml:space="preserve">Aplicaciones React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Iconografía</w:t>
      </w:r>
    </w:p>
    <w:p>
      <w:pPr>
        <w:pStyle w:val="Compact"/>
        <w:numPr>
          <w:ilvl w:val="0"/>
          <w:numId w:val="1001"/>
        </w:numPr>
      </w:pPr>
      <w:r>
        <w:t xml:space="preserve">Animaciones</w:t>
      </w:r>
    </w:p>
    <w:p>
      <w:pPr>
        <w:pStyle w:val="Compact"/>
        <w:numPr>
          <w:ilvl w:val="0"/>
          <w:numId w:val="1001"/>
        </w:numPr>
      </w:pPr>
      <w:r>
        <w:t xml:space="preserve">Layouts</w:t>
      </w:r>
    </w:p>
    <w:p>
      <w:pPr>
        <w:pStyle w:val="Compact"/>
        <w:numPr>
          <w:ilvl w:val="0"/>
          <w:numId w:val="1001"/>
        </w:numPr>
      </w:pPr>
      <w:r>
        <w:t xml:space="preserve">Componentes reutilizables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 valor visual deberá cumplir:</w:t>
      </w:r>
    </w:p>
    <w:p>
      <w:pPr>
        <w:pStyle w:val="Compact"/>
        <w:numPr>
          <w:ilvl w:val="0"/>
          <w:numId w:val="1002"/>
        </w:numPr>
      </w:pPr>
      <w:r>
        <w:t xml:space="preserve">Centralización.</w:t>
      </w:r>
    </w:p>
    <w:p>
      <w:pPr>
        <w:pStyle w:val="Compact"/>
        <w:numPr>
          <w:ilvl w:val="0"/>
          <w:numId w:val="1002"/>
        </w:numPr>
      </w:pPr>
      <w:r>
        <w:t xml:space="preserve">Reutilización.</w:t>
      </w:r>
    </w:p>
    <w:p>
      <w:pPr>
        <w:pStyle w:val="Compact"/>
        <w:numPr>
          <w:ilvl w:val="0"/>
          <w:numId w:val="1002"/>
        </w:numPr>
      </w:pPr>
      <w:r>
        <w:t xml:space="preserve">Consistencia.</w:t>
      </w:r>
    </w:p>
    <w:p>
      <w:pPr>
        <w:pStyle w:val="Compact"/>
        <w:numPr>
          <w:ilvl w:val="0"/>
          <w:numId w:val="1002"/>
        </w:numPr>
      </w:pPr>
      <w:r>
        <w:t xml:space="preserve">Accesibilidad.</w:t>
      </w:r>
    </w:p>
    <w:p>
      <w:pPr>
        <w:pStyle w:val="Compact"/>
        <w:numPr>
          <w:ilvl w:val="0"/>
          <w:numId w:val="1002"/>
        </w:numPr>
      </w:pPr>
      <w:r>
        <w:t xml:space="preserve">Escalabilidad.</w:t>
      </w:r>
    </w:p>
    <w:p>
      <w:pPr>
        <w:pStyle w:val="Compact"/>
        <w:numPr>
          <w:ilvl w:val="0"/>
          <w:numId w:val="1002"/>
        </w:numPr>
      </w:pPr>
      <w:r>
        <w:t xml:space="preserve">Independencia del componente.</w:t>
      </w:r>
    </w:p>
    <w:p>
      <w:r>
        <w:pict>
          <v:rect style="width:0;height:1.5pt" o:hralign="center" o:hrstd="t" o:hr="t"/>
        </w:pict>
      </w:r>
    </w:p>
    <w:bookmarkEnd w:id="24"/>
    <w:bookmarkStart w:id="25" w:name="arquitectura"/>
    <w:p>
      <w:pPr>
        <w:pStyle w:val="Heading1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packages/</w:t>
      </w:r>
      <w:r>
        <w:br/>
      </w:r>
      <w:r>
        <w:br/>
      </w:r>
      <w:r>
        <w:rPr>
          <w:rStyle w:val="VerbatimChar"/>
        </w:rPr>
        <w:t xml:space="preserve">ui/</w:t>
      </w:r>
      <w:r>
        <w:br/>
      </w:r>
      <w:r>
        <w:br/>
      </w:r>
      <w:r>
        <w:rPr>
          <w:rStyle w:val="VerbatimChar"/>
        </w:rPr>
        <w:t xml:space="preserve">theme/</w:t>
      </w:r>
      <w:r>
        <w:br/>
      </w:r>
      <w:r>
        <w:br/>
      </w:r>
      <w:r>
        <w:rPr>
          <w:rStyle w:val="VerbatimChar"/>
        </w:rPr>
        <w:t xml:space="preserve">tokens/</w:t>
      </w:r>
      <w:r>
        <w:br/>
      </w:r>
      <w:r>
        <w:br/>
      </w:r>
      <w:r>
        <w:rPr>
          <w:rStyle w:val="VerbatimChar"/>
        </w:rPr>
        <w:t xml:space="preserve">colors.ts</w:t>
      </w:r>
      <w:r>
        <w:br/>
      </w:r>
      <w:r>
        <w:br/>
      </w:r>
      <w:r>
        <w:rPr>
          <w:rStyle w:val="VerbatimChar"/>
        </w:rPr>
        <w:t xml:space="preserve">typography.ts</w:t>
      </w:r>
      <w:r>
        <w:br/>
      </w:r>
      <w:r>
        <w:br/>
      </w:r>
      <w:r>
        <w:rPr>
          <w:rStyle w:val="VerbatimChar"/>
        </w:rPr>
        <w:t xml:space="preserve">spacing.ts</w:t>
      </w:r>
      <w:r>
        <w:br/>
      </w:r>
      <w:r>
        <w:br/>
      </w:r>
      <w:r>
        <w:rPr>
          <w:rStyle w:val="VerbatimChar"/>
        </w:rPr>
        <w:t xml:space="preserve">radius.ts</w:t>
      </w:r>
      <w:r>
        <w:br/>
      </w:r>
      <w:r>
        <w:br/>
      </w:r>
      <w:r>
        <w:rPr>
          <w:rStyle w:val="VerbatimChar"/>
        </w:rPr>
        <w:t xml:space="preserve">shadow.ts</w:t>
      </w:r>
      <w:r>
        <w:br/>
      </w:r>
      <w:r>
        <w:br/>
      </w:r>
      <w:r>
        <w:rPr>
          <w:rStyle w:val="VerbatimChar"/>
        </w:rPr>
        <w:t xml:space="preserve">opacity.ts</w:t>
      </w:r>
      <w:r>
        <w:br/>
      </w:r>
      <w:r>
        <w:br/>
      </w:r>
      <w:r>
        <w:rPr>
          <w:rStyle w:val="VerbatimChar"/>
        </w:rPr>
        <w:t xml:space="preserve">animation.ts</w:t>
      </w:r>
      <w:r>
        <w:br/>
      </w:r>
      <w:r>
        <w:br/>
      </w:r>
      <w:r>
        <w:rPr>
          <w:rStyle w:val="VerbatimChar"/>
        </w:rPr>
        <w:t xml:space="preserve">breakpoints.ts</w:t>
      </w:r>
      <w:r>
        <w:br/>
      </w:r>
      <w:r>
        <w:br/>
      </w:r>
      <w:r>
        <w:rPr>
          <w:rStyle w:val="VerbatimChar"/>
        </w:rPr>
        <w:t xml:space="preserve">zIndex.ts</w:t>
      </w:r>
      <w:r>
        <w:br/>
      </w:r>
      <w:r>
        <w:br/>
      </w:r>
      <w:r>
        <w:rPr>
          <w:rStyle w:val="VerbatimChar"/>
        </w:rPr>
        <w:t xml:space="preserve">motion.ts</w:t>
      </w:r>
      <w:r>
        <w:br/>
      </w:r>
      <w:r>
        <w:br/>
      </w:r>
      <w:r>
        <w:rPr>
          <w:rStyle w:val="VerbatimChar"/>
        </w:rPr>
        <w:t xml:space="preserve">index.ts</w:t>
      </w:r>
    </w:p>
    <w:p>
      <w:pPr>
        <w:pStyle w:val="FirstParagraph"/>
      </w:pPr>
      <w:r>
        <w:t xml:space="preserve">Cada categoría será independiente.</w:t>
      </w:r>
    </w:p>
    <w:p>
      <w:r>
        <w:pict>
          <v:rect style="width:0;height:1.5pt" o:hralign="center" o:hrstd="t" o:hr="t"/>
        </w:pict>
      </w:r>
    </w:p>
    <w:bookmarkEnd w:id="25"/>
    <w:bookmarkStart w:id="26" w:name="colores"/>
    <w:p>
      <w:pPr>
        <w:pStyle w:val="Heading1"/>
      </w:pPr>
      <w:r>
        <w:t xml:space="preserve">Colores</w:t>
      </w:r>
    </w:p>
    <w:p>
      <w:pPr>
        <w:pStyle w:val="FirstParagraph"/>
      </w:pPr>
      <w:r>
        <w:t xml:space="preserve">No se utilizarán colores directamente.</w:t>
      </w:r>
    </w:p>
    <w:p>
      <w:pPr>
        <w:pStyle w:val="BodyText"/>
      </w:pPr>
      <w:r>
        <w:t xml:space="preserve">Incorrecto: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#F8BBD0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Correcto:</w:t>
      </w:r>
    </w:p>
    <w:p>
      <w:pPr>
        <w:pStyle w:val="SourceCode"/>
      </w:pPr>
      <w:r>
        <w:rPr>
          <w:rStyle w:val="NormalTok"/>
        </w:rPr>
        <w:t xml:space="preserve">background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var</w:t>
      </w:r>
      <w:r>
        <w:rPr>
          <w:rStyle w:val="InformationTok"/>
        </w:rPr>
        <w:t xml:space="preserve">(</w:t>
      </w:r>
      <w:r>
        <w:rPr>
          <w:rStyle w:val="NormalTok"/>
        </w:rPr>
        <w:t xml:space="preserve">--color-primary-500</w:t>
      </w:r>
      <w:r>
        <w:rPr>
          <w:rStyle w:val="InformationTok"/>
        </w:rPr>
        <w:t xml:space="preserve">)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Los componentes consumirán únicamente tokens.</w:t>
      </w:r>
    </w:p>
    <w:p>
      <w:r>
        <w:pict>
          <v:rect style="width:0;height:1.5pt" o:hralign="center" o:hrstd="t" o:hr="t"/>
        </w:pict>
      </w:r>
    </w:p>
    <w:bookmarkEnd w:id="26"/>
    <w:bookmarkStart w:id="32" w:name="categorías-de-colores"/>
    <w:p>
      <w:pPr>
        <w:pStyle w:val="Heading1"/>
      </w:pPr>
      <w:r>
        <w:t xml:space="preserve">Categorías de Colores</w:t>
      </w:r>
    </w:p>
    <w:bookmarkStart w:id="27" w:name="brand"/>
    <w:p>
      <w:pPr>
        <w:pStyle w:val="Heading2"/>
      </w:pPr>
      <w:r>
        <w:t xml:space="preserve">Brand</w:t>
      </w:r>
    </w:p>
    <w:p>
      <w:pPr>
        <w:pStyle w:val="FirstParagraph"/>
      </w:pPr>
      <w:r>
        <w:t xml:space="preserve">Representa la identidad visual.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3"/>
        </w:numPr>
      </w:pPr>
      <w:r>
        <w:t xml:space="preserve">Primary</w:t>
      </w:r>
    </w:p>
    <w:p>
      <w:pPr>
        <w:pStyle w:val="Compact"/>
        <w:numPr>
          <w:ilvl w:val="0"/>
          <w:numId w:val="1003"/>
        </w:numPr>
      </w:pPr>
      <w:r>
        <w:t xml:space="preserve">Secondary</w:t>
      </w:r>
    </w:p>
    <w:p>
      <w:pPr>
        <w:pStyle w:val="Compact"/>
        <w:numPr>
          <w:ilvl w:val="0"/>
          <w:numId w:val="1003"/>
        </w:numPr>
      </w:pPr>
      <w:r>
        <w:t xml:space="preserve">Accent</w:t>
      </w:r>
    </w:p>
    <w:p>
      <w:r>
        <w:pict>
          <v:rect style="width:0;height:1.5pt" o:hralign="center" o:hrstd="t" o:hr="t"/>
        </w:pict>
      </w:r>
    </w:p>
    <w:bookmarkEnd w:id="27"/>
    <w:bookmarkStart w:id="28" w:name="surface"/>
    <w:p>
      <w:pPr>
        <w:pStyle w:val="Heading2"/>
      </w:pPr>
      <w:r>
        <w:t xml:space="preserve">Surface</w:t>
      </w:r>
    </w:p>
    <w:p>
      <w:pPr>
        <w:pStyle w:val="FirstParagraph"/>
      </w:pPr>
      <w:r>
        <w:t xml:space="preserve">Fondos.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Surface</w:t>
      </w:r>
    </w:p>
    <w:p>
      <w:pPr>
        <w:pStyle w:val="Compact"/>
        <w:numPr>
          <w:ilvl w:val="0"/>
          <w:numId w:val="1004"/>
        </w:numPr>
      </w:pPr>
      <w:r>
        <w:t xml:space="preserve">Surface Elevated</w:t>
      </w:r>
    </w:p>
    <w:p>
      <w:pPr>
        <w:pStyle w:val="Compact"/>
        <w:numPr>
          <w:ilvl w:val="0"/>
          <w:numId w:val="1004"/>
        </w:numPr>
      </w:pPr>
      <w:r>
        <w:t xml:space="preserve">Surface Muted</w:t>
      </w:r>
    </w:p>
    <w:p>
      <w:r>
        <w:pict>
          <v:rect style="width:0;height:1.5pt" o:hralign="center" o:hrstd="t" o:hr="t"/>
        </w:pict>
      </w:r>
    </w:p>
    <w:bookmarkEnd w:id="28"/>
    <w:bookmarkStart w:id="29" w:name="text"/>
    <w:p>
      <w:pPr>
        <w:pStyle w:val="Heading2"/>
      </w:pPr>
      <w:r>
        <w:t xml:space="preserve">Text</w:t>
      </w:r>
    </w:p>
    <w:p>
      <w:pPr>
        <w:pStyle w:val="FirstParagraph"/>
      </w:pPr>
      <w:r>
        <w:t xml:space="preserve">Colores de texto.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Primary</w:t>
      </w:r>
    </w:p>
    <w:p>
      <w:pPr>
        <w:pStyle w:val="Compact"/>
        <w:numPr>
          <w:ilvl w:val="0"/>
          <w:numId w:val="1005"/>
        </w:numPr>
      </w:pPr>
      <w:r>
        <w:t xml:space="preserve">Secondary</w:t>
      </w:r>
    </w:p>
    <w:p>
      <w:pPr>
        <w:pStyle w:val="Compact"/>
        <w:numPr>
          <w:ilvl w:val="0"/>
          <w:numId w:val="1005"/>
        </w:numPr>
      </w:pPr>
      <w:r>
        <w:t xml:space="preserve">Disabled</w:t>
      </w:r>
    </w:p>
    <w:p>
      <w:pPr>
        <w:pStyle w:val="Compact"/>
        <w:numPr>
          <w:ilvl w:val="0"/>
          <w:numId w:val="1005"/>
        </w:numPr>
      </w:pPr>
      <w:r>
        <w:t xml:space="preserve">Inverse</w:t>
      </w:r>
    </w:p>
    <w:p>
      <w:r>
        <w:pict>
          <v:rect style="width:0;height:1.5pt" o:hralign="center" o:hrstd="t" o:hr="t"/>
        </w:pict>
      </w:r>
    </w:p>
    <w:bookmarkEnd w:id="29"/>
    <w:bookmarkStart w:id="30" w:name="border"/>
    <w:p>
      <w:pPr>
        <w:pStyle w:val="Heading2"/>
      </w:pPr>
      <w:r>
        <w:t xml:space="preserve">Border</w:t>
      </w:r>
    </w:p>
    <w:p>
      <w:pPr>
        <w:pStyle w:val="FirstParagraph"/>
      </w:pPr>
      <w:r>
        <w:t xml:space="preserve">Colores para divisores y bordes.</w:t>
      </w:r>
    </w:p>
    <w:p>
      <w:r>
        <w:pict>
          <v:rect style="width:0;height:1.5pt" o:hralign="center" o:hrstd="t" o:hr="t"/>
        </w:pict>
      </w:r>
    </w:p>
    <w:bookmarkEnd w:id="30"/>
    <w:bookmarkStart w:id="31" w:name="feedback"/>
    <w:p>
      <w:pPr>
        <w:pStyle w:val="Heading2"/>
      </w:pPr>
      <w:r>
        <w:t xml:space="preserve">Feedback</w:t>
      </w:r>
    </w:p>
    <w:p>
      <w:pPr>
        <w:pStyle w:val="FirstParagraph"/>
      </w:pPr>
      <w:r>
        <w:t xml:space="preserve">Estados del sistema.</w:t>
      </w:r>
    </w:p>
    <w:p>
      <w:pPr>
        <w:pStyle w:val="Compact"/>
        <w:numPr>
          <w:ilvl w:val="0"/>
          <w:numId w:val="1006"/>
        </w:numPr>
      </w:pPr>
      <w:r>
        <w:t xml:space="preserve">Success</w:t>
      </w:r>
    </w:p>
    <w:p>
      <w:pPr>
        <w:pStyle w:val="Compact"/>
        <w:numPr>
          <w:ilvl w:val="0"/>
          <w:numId w:val="1006"/>
        </w:numPr>
      </w:pPr>
      <w:r>
        <w:t xml:space="preserve">Warning</w:t>
      </w:r>
    </w:p>
    <w:p>
      <w:pPr>
        <w:pStyle w:val="Compact"/>
        <w:numPr>
          <w:ilvl w:val="0"/>
          <w:numId w:val="1006"/>
        </w:numPr>
      </w:pPr>
      <w:r>
        <w:t xml:space="preserve">Error</w:t>
      </w:r>
    </w:p>
    <w:p>
      <w:pPr>
        <w:pStyle w:val="Compact"/>
        <w:numPr>
          <w:ilvl w:val="0"/>
          <w:numId w:val="1006"/>
        </w:numPr>
      </w:pPr>
      <w:r>
        <w:t xml:space="preserve">Info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escala"/>
    <w:p>
      <w:pPr>
        <w:pStyle w:val="Heading1"/>
      </w:pPr>
      <w:r>
        <w:t xml:space="preserve">Escala</w:t>
      </w:r>
    </w:p>
    <w:p>
      <w:pPr>
        <w:pStyle w:val="FirstParagraph"/>
      </w:pPr>
      <w:r>
        <w:t xml:space="preserve">Cada color seguirá una escala uniforme.</w:t>
      </w:r>
    </w:p>
    <w:p>
      <w:pPr>
        <w:pStyle w:val="BodyText"/>
      </w:pPr>
      <w:r>
        <w:t xml:space="preserve">Ejemplo conceptual:</w:t>
      </w:r>
    </w:p>
    <w:p>
      <w:pPr>
        <w:pStyle w:val="SourceCode"/>
      </w:pPr>
      <w:r>
        <w:rPr>
          <w:rStyle w:val="VerbatimChar"/>
        </w:rPr>
        <w:t xml:space="preserve">50</w:t>
      </w:r>
      <w:r>
        <w:br/>
      </w:r>
      <w:r>
        <w:rPr>
          <w:rStyle w:val="VerbatimChar"/>
        </w:rPr>
        <w:t xml:space="preserve">100</w:t>
      </w:r>
      <w:r>
        <w:br/>
      </w:r>
      <w:r>
        <w:rPr>
          <w:rStyle w:val="VerbatimChar"/>
        </w:rPr>
        <w:t xml:space="preserve">200</w:t>
      </w:r>
      <w:r>
        <w:br/>
      </w:r>
      <w:r>
        <w:rPr>
          <w:rStyle w:val="VerbatimChar"/>
        </w:rPr>
        <w:t xml:space="preserve">300</w:t>
      </w:r>
      <w:r>
        <w:br/>
      </w:r>
      <w:r>
        <w:rPr>
          <w:rStyle w:val="VerbatimChar"/>
        </w:rPr>
        <w:t xml:space="preserve">400</w:t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600</w:t>
      </w:r>
      <w:r>
        <w:br/>
      </w:r>
      <w:r>
        <w:rPr>
          <w:rStyle w:val="VerbatimChar"/>
        </w:rPr>
        <w:t xml:space="preserve">700</w:t>
      </w:r>
      <w:r>
        <w:br/>
      </w:r>
      <w:r>
        <w:rPr>
          <w:rStyle w:val="VerbatimChar"/>
        </w:rPr>
        <w:t xml:space="preserve">800</w:t>
      </w:r>
      <w:r>
        <w:br/>
      </w:r>
      <w:r>
        <w:rPr>
          <w:rStyle w:val="VerbatimChar"/>
        </w:rPr>
        <w:t xml:space="preserve">900</w:t>
      </w:r>
    </w:p>
    <w:p>
      <w:pPr>
        <w:pStyle w:val="FirstParagraph"/>
      </w:pPr>
      <w:r>
        <w:t xml:space="preserve">Esto facilita variantes sin crear nuevos nombres arbitrarios.</w:t>
      </w:r>
    </w:p>
    <w:p>
      <w:r>
        <w:pict>
          <v:rect style="width:0;height:1.5pt" o:hralign="center" o:hrstd="t" o:hr="t"/>
        </w:pict>
      </w:r>
    </w:p>
    <w:bookmarkEnd w:id="33"/>
    <w:bookmarkStart w:id="34" w:name="tipografía"/>
    <w:p>
      <w:pPr>
        <w:pStyle w:val="Heading1"/>
      </w:pPr>
      <w:r>
        <w:t xml:space="preserve">Tipografía</w:t>
      </w:r>
    </w:p>
    <w:p>
      <w:pPr>
        <w:pStyle w:val="FirstParagraph"/>
      </w:pPr>
      <w:r>
        <w:t xml:space="preserve">La tipografía se definirá mediante tokens.</w:t>
      </w:r>
    </w:p>
    <w:p>
      <w:pPr>
        <w:pStyle w:val="BodyText"/>
      </w:pPr>
      <w:r>
        <w:t xml:space="preserve">No se utilizarán tamaños numéricos directamente.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Display</w:t>
      </w:r>
    </w:p>
    <w:p>
      <w:pPr>
        <w:pStyle w:val="Compact"/>
        <w:numPr>
          <w:ilvl w:val="0"/>
          <w:numId w:val="1007"/>
        </w:numPr>
      </w:pPr>
      <w:r>
        <w:t xml:space="preserve">Heading</w:t>
      </w:r>
    </w:p>
    <w:p>
      <w:pPr>
        <w:pStyle w:val="Compact"/>
        <w:numPr>
          <w:ilvl w:val="0"/>
          <w:numId w:val="1007"/>
        </w:numPr>
      </w:pPr>
      <w:r>
        <w:t xml:space="preserve">Title</w:t>
      </w:r>
    </w:p>
    <w:p>
      <w:pPr>
        <w:pStyle w:val="Compact"/>
        <w:numPr>
          <w:ilvl w:val="0"/>
          <w:numId w:val="1007"/>
        </w:numPr>
      </w:pPr>
      <w:r>
        <w:t xml:space="preserve">Body</w:t>
      </w:r>
    </w:p>
    <w:p>
      <w:pPr>
        <w:pStyle w:val="Compact"/>
        <w:numPr>
          <w:ilvl w:val="0"/>
          <w:numId w:val="1007"/>
        </w:numPr>
      </w:pPr>
      <w:r>
        <w:t xml:space="preserve">Caption</w:t>
      </w:r>
    </w:p>
    <w:p>
      <w:pPr>
        <w:pStyle w:val="Compact"/>
        <w:numPr>
          <w:ilvl w:val="0"/>
          <w:numId w:val="1007"/>
        </w:numPr>
      </w:pPr>
      <w:r>
        <w:t xml:space="preserve">Label</w:t>
      </w:r>
    </w:p>
    <w:p>
      <w:pPr>
        <w:pStyle w:val="FirstParagraph"/>
      </w:pPr>
      <w:r>
        <w:t xml:space="preserve">Cada estilo incluirá:</w:t>
      </w:r>
    </w:p>
    <w:p>
      <w:pPr>
        <w:pStyle w:val="Compact"/>
        <w:numPr>
          <w:ilvl w:val="0"/>
          <w:numId w:val="1008"/>
        </w:numPr>
      </w:pPr>
      <w:r>
        <w:t xml:space="preserve">Tamaño.</w:t>
      </w:r>
    </w:p>
    <w:p>
      <w:pPr>
        <w:pStyle w:val="Compact"/>
        <w:numPr>
          <w:ilvl w:val="0"/>
          <w:numId w:val="1008"/>
        </w:numPr>
      </w:pPr>
      <w:r>
        <w:t xml:space="preserve">Peso.</w:t>
      </w:r>
    </w:p>
    <w:p>
      <w:pPr>
        <w:pStyle w:val="Compact"/>
        <w:numPr>
          <w:ilvl w:val="0"/>
          <w:numId w:val="1008"/>
        </w:numPr>
      </w:pPr>
      <w:r>
        <w:t xml:space="preserve">Altura de línea.</w:t>
      </w:r>
    </w:p>
    <w:p>
      <w:pPr>
        <w:pStyle w:val="Compact"/>
        <w:numPr>
          <w:ilvl w:val="0"/>
          <w:numId w:val="1008"/>
        </w:numPr>
      </w:pPr>
      <w:r>
        <w:t xml:space="preserve">Espaciado.</w:t>
      </w:r>
    </w:p>
    <w:p>
      <w:r>
        <w:pict>
          <v:rect style="width:0;height:1.5pt" o:hralign="center" o:hrstd="t" o:hr="t"/>
        </w:pict>
      </w:r>
    </w:p>
    <w:bookmarkEnd w:id="34"/>
    <w:bookmarkStart w:id="35" w:name="espaciado"/>
    <w:p>
      <w:pPr>
        <w:pStyle w:val="Heading1"/>
      </w:pPr>
      <w:r>
        <w:t xml:space="preserve">Espaciado</w:t>
      </w:r>
    </w:p>
    <w:p>
      <w:pPr>
        <w:pStyle w:val="FirstParagraph"/>
      </w:pPr>
      <w:r>
        <w:t xml:space="preserve">Todo espaciado utilizará una escala consistente.</w:t>
      </w:r>
    </w:p>
    <w:p>
      <w:pPr>
        <w:pStyle w:val="BodyText"/>
      </w:pPr>
      <w:r>
        <w:t xml:space="preserve">Ejemplo conceptual: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16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24</w:t>
      </w:r>
      <w:r>
        <w:br/>
      </w:r>
      <w:r>
        <w:rPr>
          <w:rStyle w:val="VerbatimChar"/>
        </w:rPr>
        <w:t xml:space="preserve">32</w:t>
      </w:r>
      <w:r>
        <w:br/>
      </w:r>
      <w:r>
        <w:rPr>
          <w:rStyle w:val="VerbatimChar"/>
        </w:rPr>
        <w:t xml:space="preserve">40</w:t>
      </w:r>
      <w:r>
        <w:br/>
      </w:r>
      <w:r>
        <w:rPr>
          <w:rStyle w:val="VerbatimChar"/>
        </w:rPr>
        <w:t xml:space="preserve">48</w:t>
      </w:r>
      <w:r>
        <w:br/>
      </w:r>
      <w:r>
        <w:rPr>
          <w:rStyle w:val="VerbatimChar"/>
        </w:rPr>
        <w:t xml:space="preserve">64</w:t>
      </w:r>
      <w:r>
        <w:br/>
      </w:r>
      <w:r>
        <w:rPr>
          <w:rStyle w:val="VerbatimChar"/>
        </w:rPr>
        <w:t xml:space="preserve">80</w:t>
      </w:r>
      <w:r>
        <w:br/>
      </w:r>
      <w:r>
        <w:rPr>
          <w:rStyle w:val="VerbatimChar"/>
        </w:rPr>
        <w:t xml:space="preserve">96</w:t>
      </w:r>
      <w:r>
        <w:br/>
      </w:r>
      <w:r>
        <w:rPr>
          <w:rStyle w:val="VerbatimChar"/>
        </w:rPr>
        <w:t xml:space="preserve">128</w:t>
      </w:r>
    </w:p>
    <w:p>
      <w:pPr>
        <w:pStyle w:val="FirstParagraph"/>
      </w:pPr>
      <w:r>
        <w:t xml:space="preserve">No se utilizarán valores arbitrarios dentro de los componentes.</w:t>
      </w:r>
    </w:p>
    <w:p>
      <w:r>
        <w:pict>
          <v:rect style="width:0;height:1.5pt" o:hralign="center" o:hrstd="t" o:hr="t"/>
        </w:pict>
      </w:r>
    </w:p>
    <w:bookmarkEnd w:id="35"/>
    <w:bookmarkStart w:id="36" w:name="bordes"/>
    <w:p>
      <w:pPr>
        <w:pStyle w:val="Heading1"/>
      </w:pPr>
      <w:r>
        <w:t xml:space="preserve">Bordes</w:t>
      </w:r>
    </w:p>
    <w:p>
      <w:pPr>
        <w:pStyle w:val="FirstParagraph"/>
      </w:pPr>
      <w:r>
        <w:t xml:space="preserve">Los radios se centralizarán.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9"/>
        </w:numPr>
      </w:pPr>
      <w:r>
        <w:t xml:space="preserve">None</w:t>
      </w:r>
    </w:p>
    <w:p>
      <w:pPr>
        <w:pStyle w:val="Compact"/>
        <w:numPr>
          <w:ilvl w:val="0"/>
          <w:numId w:val="1009"/>
        </w:numPr>
      </w:pPr>
      <w:r>
        <w:t xml:space="preserve">Small</w:t>
      </w:r>
    </w:p>
    <w:p>
      <w:pPr>
        <w:pStyle w:val="Compact"/>
        <w:numPr>
          <w:ilvl w:val="0"/>
          <w:numId w:val="1009"/>
        </w:numPr>
      </w:pPr>
      <w:r>
        <w:t xml:space="preserve">Medium</w:t>
      </w:r>
    </w:p>
    <w:p>
      <w:pPr>
        <w:pStyle w:val="Compact"/>
        <w:numPr>
          <w:ilvl w:val="0"/>
          <w:numId w:val="1009"/>
        </w:numPr>
      </w:pPr>
      <w:r>
        <w:t xml:space="preserve">Large</w:t>
      </w:r>
    </w:p>
    <w:p>
      <w:pPr>
        <w:pStyle w:val="Compact"/>
        <w:numPr>
          <w:ilvl w:val="0"/>
          <w:numId w:val="1009"/>
        </w:numPr>
      </w:pPr>
      <w:r>
        <w:t xml:space="preserve">Pill</w:t>
      </w:r>
    </w:p>
    <w:p>
      <w:pPr>
        <w:pStyle w:val="Compact"/>
        <w:numPr>
          <w:ilvl w:val="0"/>
          <w:numId w:val="1009"/>
        </w:numPr>
      </w:pPr>
      <w:r>
        <w:t xml:space="preserve">Full</w:t>
      </w:r>
    </w:p>
    <w:p>
      <w:r>
        <w:pict>
          <v:rect style="width:0;height:1.5pt" o:hralign="center" o:hrstd="t" o:hr="t"/>
        </w:pict>
      </w:r>
    </w:p>
    <w:bookmarkEnd w:id="36"/>
    <w:bookmarkStart w:id="37" w:name="sombras"/>
    <w:p>
      <w:pPr>
        <w:pStyle w:val="Heading1"/>
      </w:pPr>
      <w:r>
        <w:t xml:space="preserve">Sombras</w:t>
      </w:r>
    </w:p>
    <w:p>
      <w:pPr>
        <w:pStyle w:val="FirstParagraph"/>
      </w:pPr>
      <w:r>
        <w:t xml:space="preserve">Las elevaciones utilizarán niveles predefinidos.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0"/>
        </w:numPr>
      </w:pPr>
      <w:r>
        <w:t xml:space="preserve">Level 0</w:t>
      </w:r>
    </w:p>
    <w:p>
      <w:pPr>
        <w:pStyle w:val="Compact"/>
        <w:numPr>
          <w:ilvl w:val="0"/>
          <w:numId w:val="1010"/>
        </w:numPr>
      </w:pPr>
      <w:r>
        <w:t xml:space="preserve">Level 1</w:t>
      </w:r>
    </w:p>
    <w:p>
      <w:pPr>
        <w:pStyle w:val="Compact"/>
        <w:numPr>
          <w:ilvl w:val="0"/>
          <w:numId w:val="1010"/>
        </w:numPr>
      </w:pPr>
      <w:r>
        <w:t xml:space="preserve">Level 2</w:t>
      </w:r>
    </w:p>
    <w:p>
      <w:pPr>
        <w:pStyle w:val="Compact"/>
        <w:numPr>
          <w:ilvl w:val="0"/>
          <w:numId w:val="1010"/>
        </w:numPr>
      </w:pPr>
      <w:r>
        <w:t xml:space="preserve">Level 3</w:t>
      </w:r>
    </w:p>
    <w:p>
      <w:pPr>
        <w:pStyle w:val="Compact"/>
        <w:numPr>
          <w:ilvl w:val="0"/>
          <w:numId w:val="1010"/>
        </w:numPr>
      </w:pPr>
      <w:r>
        <w:t xml:space="preserve">Level 4</w:t>
      </w:r>
    </w:p>
    <w:p>
      <w:pPr>
        <w:pStyle w:val="FirstParagraph"/>
      </w:pPr>
      <w:r>
        <w:t xml:space="preserve">Esto mantiene coherencia visual.</w:t>
      </w:r>
    </w:p>
    <w:p>
      <w:r>
        <w:pict>
          <v:rect style="width:0;height:1.5pt" o:hralign="center" o:hrstd="t" o:hr="t"/>
        </w:pict>
      </w:r>
    </w:p>
    <w:bookmarkEnd w:id="37"/>
    <w:bookmarkStart w:id="38" w:name="opacidad"/>
    <w:p>
      <w:pPr>
        <w:pStyle w:val="Heading1"/>
      </w:pPr>
      <w:r>
        <w:t xml:space="preserve">Opacidad</w:t>
      </w:r>
    </w:p>
    <w:p>
      <w:pPr>
        <w:pStyle w:val="FirstParagraph"/>
      </w:pPr>
      <w:r>
        <w:t xml:space="preserve">Se definirán niveles reutilizables.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1"/>
        </w:numPr>
      </w:pPr>
      <w:r>
        <w:t xml:space="preserve">Disabled</w:t>
      </w:r>
    </w:p>
    <w:p>
      <w:pPr>
        <w:pStyle w:val="Compact"/>
        <w:numPr>
          <w:ilvl w:val="0"/>
          <w:numId w:val="1011"/>
        </w:numPr>
      </w:pPr>
      <w:r>
        <w:t xml:space="preserve">Hover</w:t>
      </w:r>
    </w:p>
    <w:p>
      <w:pPr>
        <w:pStyle w:val="Compact"/>
        <w:numPr>
          <w:ilvl w:val="0"/>
          <w:numId w:val="1011"/>
        </w:numPr>
      </w:pPr>
      <w:r>
        <w:t xml:space="preserve">Overlay</w:t>
      </w:r>
    </w:p>
    <w:p>
      <w:r>
        <w:pict>
          <v:rect style="width:0;height:1.5pt" o:hralign="center" o:hrstd="t" o:hr="t"/>
        </w:pict>
      </w:r>
    </w:p>
    <w:bookmarkEnd w:id="38"/>
    <w:bookmarkStart w:id="39" w:name="animaciones"/>
    <w:p>
      <w:pPr>
        <w:pStyle w:val="Heading1"/>
      </w:pPr>
      <w:r>
        <w:t xml:space="preserve">Animaciones</w:t>
      </w:r>
    </w:p>
    <w:p>
      <w:pPr>
        <w:pStyle w:val="FirstParagraph"/>
      </w:pPr>
      <w:r>
        <w:t xml:space="preserve">Las duraciones utilizarán tokens.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2"/>
        </w:numPr>
      </w:pPr>
      <w:r>
        <w:t xml:space="preserve">Fast</w:t>
      </w:r>
    </w:p>
    <w:p>
      <w:pPr>
        <w:pStyle w:val="Compact"/>
        <w:numPr>
          <w:ilvl w:val="0"/>
          <w:numId w:val="1012"/>
        </w:numPr>
      </w:pPr>
      <w:r>
        <w:t xml:space="preserve">Normal</w:t>
      </w:r>
    </w:p>
    <w:p>
      <w:pPr>
        <w:pStyle w:val="Compact"/>
        <w:numPr>
          <w:ilvl w:val="0"/>
          <w:numId w:val="1012"/>
        </w:numPr>
      </w:pPr>
      <w:r>
        <w:t xml:space="preserve">Slow</w:t>
      </w:r>
    </w:p>
    <w:p>
      <w:pPr>
        <w:pStyle w:val="FirstParagraph"/>
      </w:pPr>
      <w:r>
        <w:t xml:space="preserve">También se definirán curvas de aceleración reutilizables.</w:t>
      </w:r>
    </w:p>
    <w:p>
      <w:r>
        <w:pict>
          <v:rect style="width:0;height:1.5pt" o:hralign="center" o:hrstd="t" o:hr="t"/>
        </w:pict>
      </w:r>
    </w:p>
    <w:bookmarkEnd w:id="39"/>
    <w:bookmarkStart w:id="40" w:name="breakpoints"/>
    <w:p>
      <w:pPr>
        <w:pStyle w:val="Heading1"/>
      </w:pPr>
      <w:r>
        <w:t xml:space="preserve">Breakpoints</w:t>
      </w:r>
    </w:p>
    <w:p>
      <w:pPr>
        <w:pStyle w:val="FirstParagraph"/>
      </w:pPr>
      <w:r>
        <w:t xml:space="preserve">Los puntos de corte serán únicos para toda la plataforma.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3"/>
        </w:numPr>
      </w:pPr>
      <w:r>
        <w:t xml:space="preserve">Mobile</w:t>
      </w:r>
    </w:p>
    <w:p>
      <w:pPr>
        <w:pStyle w:val="Compact"/>
        <w:numPr>
          <w:ilvl w:val="0"/>
          <w:numId w:val="1013"/>
        </w:numPr>
      </w:pPr>
      <w:r>
        <w:t xml:space="preserve">Tablet</w:t>
      </w:r>
    </w:p>
    <w:p>
      <w:pPr>
        <w:pStyle w:val="Compact"/>
        <w:numPr>
          <w:ilvl w:val="0"/>
          <w:numId w:val="1013"/>
        </w:numPr>
      </w:pPr>
      <w:r>
        <w:t xml:space="preserve">Laptop</w:t>
      </w:r>
    </w:p>
    <w:p>
      <w:pPr>
        <w:pStyle w:val="Compact"/>
        <w:numPr>
          <w:ilvl w:val="0"/>
          <w:numId w:val="1013"/>
        </w:numPr>
      </w:pPr>
      <w:r>
        <w:t xml:space="preserve">Desktop</w:t>
      </w:r>
    </w:p>
    <w:p>
      <w:pPr>
        <w:pStyle w:val="Compact"/>
        <w:numPr>
          <w:ilvl w:val="0"/>
          <w:numId w:val="1013"/>
        </w:numPr>
      </w:pPr>
      <w:r>
        <w:t xml:space="preserve">Wide</w:t>
      </w:r>
    </w:p>
    <w:p>
      <w:pPr>
        <w:pStyle w:val="FirstParagraph"/>
      </w:pPr>
      <w:r>
        <w:t xml:space="preserve">No se permitirán breakpoints definidos dentro de componentes.</w:t>
      </w:r>
    </w:p>
    <w:p>
      <w:r>
        <w:pict>
          <v:rect style="width:0;height:1.5pt" o:hralign="center" o:hrstd="t" o:hr="t"/>
        </w:pict>
      </w:r>
    </w:p>
    <w:bookmarkEnd w:id="40"/>
    <w:bookmarkStart w:id="41" w:name="z-index"/>
    <w:p>
      <w:pPr>
        <w:pStyle w:val="Heading1"/>
      </w:pPr>
      <w:r>
        <w:t xml:space="preserve">Z-Index</w:t>
      </w:r>
    </w:p>
    <w:p>
      <w:pPr>
        <w:pStyle w:val="FirstParagraph"/>
      </w:pPr>
      <w:r>
        <w:t xml:space="preserve">Los niveles de superposición estarán centralizados.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14"/>
        </w:numPr>
      </w:pPr>
      <w:r>
        <w:t xml:space="preserve">Dropdown</w:t>
      </w:r>
    </w:p>
    <w:p>
      <w:pPr>
        <w:pStyle w:val="Compact"/>
        <w:numPr>
          <w:ilvl w:val="0"/>
          <w:numId w:val="1014"/>
        </w:numPr>
      </w:pPr>
      <w:r>
        <w:t xml:space="preserve">Sticky</w:t>
      </w:r>
    </w:p>
    <w:p>
      <w:pPr>
        <w:pStyle w:val="Compact"/>
        <w:numPr>
          <w:ilvl w:val="0"/>
          <w:numId w:val="1014"/>
        </w:numPr>
      </w:pPr>
      <w:r>
        <w:t xml:space="preserve">Modal</w:t>
      </w:r>
    </w:p>
    <w:p>
      <w:pPr>
        <w:pStyle w:val="Compact"/>
        <w:numPr>
          <w:ilvl w:val="0"/>
          <w:numId w:val="1014"/>
        </w:numPr>
      </w:pPr>
      <w:r>
        <w:t xml:space="preserve">Toast</w:t>
      </w:r>
    </w:p>
    <w:p>
      <w:pPr>
        <w:pStyle w:val="Compact"/>
        <w:numPr>
          <w:ilvl w:val="0"/>
          <w:numId w:val="1014"/>
        </w:numPr>
      </w:pPr>
      <w:r>
        <w:t xml:space="preserve">Tooltip</w:t>
      </w:r>
    </w:p>
    <w:p>
      <w:pPr>
        <w:pStyle w:val="FirstParagraph"/>
      </w:pPr>
      <w:r>
        <w:t xml:space="preserve">Esto evita conflictos entre componentes.</w:t>
      </w:r>
    </w:p>
    <w:p>
      <w:r>
        <w:pict>
          <v:rect style="width:0;height:1.5pt" o:hralign="center" o:hrstd="t" o:hr="t"/>
        </w:pict>
      </w:r>
    </w:p>
    <w:bookmarkEnd w:id="41"/>
    <w:bookmarkStart w:id="42" w:name="iconografía"/>
    <w:p>
      <w:pPr>
        <w:pStyle w:val="Heading1"/>
      </w:pPr>
      <w:r>
        <w:t xml:space="preserve">Iconografía</w:t>
      </w:r>
    </w:p>
    <w:p>
      <w:pPr>
        <w:pStyle w:val="FirstParagraph"/>
      </w:pPr>
      <w:r>
        <w:t xml:space="preserve">Todos los iconos deberán provenir de una única biblioteca aprobada.</w:t>
      </w:r>
    </w:p>
    <w:p>
      <w:pPr>
        <w:pStyle w:val="BodyText"/>
      </w:pPr>
      <w:r>
        <w:t xml:space="preserve">No se mezclarán múltiples sistemas de iconos sin una justificación arquitectónica.</w:t>
      </w:r>
    </w:p>
    <w:p>
      <w:r>
        <w:pict>
          <v:rect style="width:0;height:1.5pt" o:hralign="center" o:hrstd="t" o:hr="t"/>
        </w:pict>
      </w:r>
    </w:p>
    <w:bookmarkEnd w:id="42"/>
    <w:bookmarkStart w:id="43" w:name="temas"/>
    <w:p>
      <w:pPr>
        <w:pStyle w:val="Heading1"/>
      </w:pPr>
      <w:r>
        <w:t xml:space="preserve">Temas</w:t>
      </w:r>
    </w:p>
    <w:p>
      <w:pPr>
        <w:pStyle w:val="FirstParagraph"/>
      </w:pPr>
      <w:r>
        <w:t xml:space="preserve">La arquitectura permitirá soportar:</w:t>
      </w:r>
    </w:p>
    <w:p>
      <w:pPr>
        <w:pStyle w:val="Compact"/>
        <w:numPr>
          <w:ilvl w:val="0"/>
          <w:numId w:val="1015"/>
        </w:numPr>
      </w:pPr>
      <w:r>
        <w:t xml:space="preserve">Light Theme.</w:t>
      </w:r>
    </w:p>
    <w:p>
      <w:pPr>
        <w:pStyle w:val="Compact"/>
        <w:numPr>
          <w:ilvl w:val="0"/>
          <w:numId w:val="1015"/>
        </w:numPr>
      </w:pPr>
      <w:r>
        <w:t xml:space="preserve">Dark Theme.</w:t>
      </w:r>
    </w:p>
    <w:p>
      <w:pPr>
        <w:pStyle w:val="FirstParagraph"/>
      </w:pPr>
      <w:r>
        <w:t xml:space="preserve">En el futuro podrán añadirse temas personalizados sin modificar los componentes.</w:t>
      </w:r>
    </w:p>
    <w:p>
      <w:r>
        <w:pict>
          <v:rect style="width:0;height:1.5pt" o:hralign="center" o:hrstd="t" o:hr="t"/>
        </w:pict>
      </w:r>
    </w:p>
    <w:bookmarkEnd w:id="43"/>
    <w:bookmarkStart w:id="44" w:name="accesibilidad"/>
    <w:p>
      <w:pPr>
        <w:pStyle w:val="Heading1"/>
      </w:pPr>
      <w:r>
        <w:t xml:space="preserve">Accesibilidad</w:t>
      </w:r>
    </w:p>
    <w:p>
      <w:pPr>
        <w:pStyle w:val="FirstParagraph"/>
      </w:pPr>
      <w:r>
        <w:t xml:space="preserve">Los tokens deberán facilitar el cumplimiento de WCAG 2.1 AA.</w:t>
      </w:r>
    </w:p>
    <w:p>
      <w:pPr>
        <w:pStyle w:val="BodyText"/>
      </w:pPr>
      <w:r>
        <w:t xml:space="preserve">Se verificará:</w:t>
      </w:r>
    </w:p>
    <w:p>
      <w:pPr>
        <w:pStyle w:val="Compact"/>
        <w:numPr>
          <w:ilvl w:val="0"/>
          <w:numId w:val="1016"/>
        </w:numPr>
      </w:pPr>
      <w:r>
        <w:t xml:space="preserve">Contraste.</w:t>
      </w:r>
    </w:p>
    <w:p>
      <w:pPr>
        <w:pStyle w:val="Compact"/>
        <w:numPr>
          <w:ilvl w:val="0"/>
          <w:numId w:val="1016"/>
        </w:numPr>
      </w:pPr>
      <w:r>
        <w:t xml:space="preserve">Tamaño mínimo de texto.</w:t>
      </w:r>
    </w:p>
    <w:p>
      <w:pPr>
        <w:pStyle w:val="Compact"/>
        <w:numPr>
          <w:ilvl w:val="0"/>
          <w:numId w:val="1016"/>
        </w:numPr>
      </w:pPr>
      <w:r>
        <w:t xml:space="preserve">Estados de foco.</w:t>
      </w:r>
    </w:p>
    <w:p>
      <w:pPr>
        <w:pStyle w:val="Compact"/>
        <w:numPr>
          <w:ilvl w:val="0"/>
          <w:numId w:val="1016"/>
        </w:numPr>
      </w:pPr>
      <w:r>
        <w:t xml:space="preserve">Indicadores visuales.</w:t>
      </w:r>
    </w:p>
    <w:p>
      <w:r>
        <w:pict>
          <v:rect style="width:0;height:1.5pt" o:hralign="center" o:hrstd="t" o:hr="t"/>
        </w:pict>
      </w:r>
    </w:p>
    <w:bookmarkEnd w:id="44"/>
    <w:bookmarkStart w:id="45" w:name="rendimiento"/>
    <w:p>
      <w:pPr>
        <w:pStyle w:val="Heading1"/>
      </w:pPr>
      <w:r>
        <w:t xml:space="preserve">Rendimiento</w:t>
      </w:r>
    </w:p>
    <w:p>
      <w:pPr>
        <w:pStyle w:val="FirstParagraph"/>
      </w:pPr>
      <w:r>
        <w:t xml:space="preserve">Los tokens deberán:</w:t>
      </w:r>
    </w:p>
    <w:p>
      <w:pPr>
        <w:pStyle w:val="Compact"/>
        <w:numPr>
          <w:ilvl w:val="0"/>
          <w:numId w:val="1017"/>
        </w:numPr>
      </w:pPr>
      <w:r>
        <w:t xml:space="preserve">Evitar duplicaciones.</w:t>
      </w:r>
    </w:p>
    <w:p>
      <w:pPr>
        <w:pStyle w:val="Compact"/>
        <w:numPr>
          <w:ilvl w:val="0"/>
          <w:numId w:val="1017"/>
        </w:numPr>
      </w:pPr>
      <w:r>
        <w:t xml:space="preserve">Facilitar la generación de estilos.</w:t>
      </w:r>
    </w:p>
    <w:p>
      <w:pPr>
        <w:pStyle w:val="Compact"/>
        <w:numPr>
          <w:ilvl w:val="0"/>
          <w:numId w:val="1017"/>
        </w:numPr>
      </w:pPr>
      <w:r>
        <w:t xml:space="preserve">Reducir mantenimiento.</w:t>
      </w:r>
    </w:p>
    <w:p>
      <w:pPr>
        <w:pStyle w:val="Compact"/>
        <w:numPr>
          <w:ilvl w:val="0"/>
          <w:numId w:val="1017"/>
        </w:numPr>
      </w:pPr>
      <w:r>
        <w:t xml:space="preserve">Permitir optimizaciones de Tailwind CSS.</w:t>
      </w:r>
    </w:p>
    <w:p>
      <w:r>
        <w:pict>
          <v:rect style="width:0;height:1.5pt" o:hralign="center" o:hrstd="t" o:hr="t"/>
        </w:pict>
      </w:r>
    </w:p>
    <w:bookmarkEnd w:id="45"/>
    <w:bookmarkStart w:id="46" w:name="reglas"/>
    <w:p>
      <w:pPr>
        <w:pStyle w:val="Heading1"/>
      </w:pPr>
      <w:r>
        <w:t xml:space="preserve">Reglas</w:t>
      </w:r>
    </w:p>
    <w:p>
      <w:pPr>
        <w:pStyle w:val="FirstParagraph"/>
      </w:pPr>
      <w:r>
        <w:t xml:space="preserve">No está permitido:</w:t>
      </w:r>
    </w:p>
    <w:p>
      <w:pPr>
        <w:pStyle w:val="Compact"/>
        <w:numPr>
          <w:ilvl w:val="0"/>
          <w:numId w:val="1018"/>
        </w:numPr>
      </w:pPr>
      <w:r>
        <w:t xml:space="preserve">Colores hardcoded.</w:t>
      </w:r>
    </w:p>
    <w:p>
      <w:pPr>
        <w:pStyle w:val="Compact"/>
        <w:numPr>
          <w:ilvl w:val="0"/>
          <w:numId w:val="1018"/>
        </w:numPr>
      </w:pPr>
      <w:r>
        <w:t xml:space="preserve">Márgenes arbitrarios.</w:t>
      </w:r>
    </w:p>
    <w:p>
      <w:pPr>
        <w:pStyle w:val="Compact"/>
        <w:numPr>
          <w:ilvl w:val="0"/>
          <w:numId w:val="1018"/>
        </w:numPr>
      </w:pPr>
      <w:r>
        <w:t xml:space="preserve">Sombras personalizadas fuera del sistema.</w:t>
      </w:r>
    </w:p>
    <w:p>
      <w:pPr>
        <w:pStyle w:val="Compact"/>
        <w:numPr>
          <w:ilvl w:val="0"/>
          <w:numId w:val="1018"/>
        </w:numPr>
      </w:pPr>
      <w:r>
        <w:t xml:space="preserve">Breakpoints definidos localmente.</w:t>
      </w:r>
    </w:p>
    <w:p>
      <w:pPr>
        <w:pStyle w:val="Compact"/>
        <w:numPr>
          <w:ilvl w:val="0"/>
          <w:numId w:val="1018"/>
        </w:numPr>
      </w:pPr>
      <w:r>
        <w:t xml:space="preserve">Tipografías no documentadas.</w:t>
      </w:r>
    </w:p>
    <w:p>
      <w:pPr>
        <w:pStyle w:val="FirstParagraph"/>
      </w:pPr>
      <w:r>
        <w:t xml:space="preserve">Toda excepción deberá aprobarse mediante un ADR.</w:t>
      </w:r>
    </w:p>
    <w:p>
      <w:r>
        <w:pict>
          <v:rect style="width:0;height:1.5pt" o:hralign="center" o:hrstd="t" o:hr="t"/>
        </w:pict>
      </w:r>
    </w:p>
    <w:bookmarkEnd w:id="46"/>
    <w:bookmarkStart w:id="47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9"/>
        </w:numPr>
      </w:pPr>
      <w:r>
        <w:t xml:space="preserve">Colores definidos.</w:t>
      </w:r>
    </w:p>
    <w:p>
      <w:pPr>
        <w:pStyle w:val="Compact"/>
        <w:numPr>
          <w:ilvl w:val="0"/>
          <w:numId w:val="1019"/>
        </w:numPr>
      </w:pPr>
      <w:r>
        <w:t xml:space="preserve">Tipografía definida.</w:t>
      </w:r>
    </w:p>
    <w:p>
      <w:pPr>
        <w:pStyle w:val="Compact"/>
        <w:numPr>
          <w:ilvl w:val="0"/>
          <w:numId w:val="1019"/>
        </w:numPr>
      </w:pPr>
      <w:r>
        <w:t xml:space="preserve">Espaciado definido.</w:t>
      </w:r>
    </w:p>
    <w:p>
      <w:pPr>
        <w:pStyle w:val="Compact"/>
        <w:numPr>
          <w:ilvl w:val="0"/>
          <w:numId w:val="1019"/>
        </w:numPr>
      </w:pPr>
      <w:r>
        <w:t xml:space="preserve">Radios definidos.</w:t>
      </w:r>
    </w:p>
    <w:p>
      <w:pPr>
        <w:pStyle w:val="Compact"/>
        <w:numPr>
          <w:ilvl w:val="0"/>
          <w:numId w:val="1019"/>
        </w:numPr>
      </w:pPr>
      <w:r>
        <w:t xml:space="preserve">Sombras definidas.</w:t>
      </w:r>
    </w:p>
    <w:p>
      <w:pPr>
        <w:pStyle w:val="Compact"/>
        <w:numPr>
          <w:ilvl w:val="0"/>
          <w:numId w:val="1019"/>
        </w:numPr>
      </w:pPr>
      <w:r>
        <w:t xml:space="preserve">Breakpoints definidos.</w:t>
      </w:r>
    </w:p>
    <w:p>
      <w:pPr>
        <w:pStyle w:val="Compact"/>
        <w:numPr>
          <w:ilvl w:val="0"/>
          <w:numId w:val="1019"/>
        </w:numPr>
      </w:pPr>
      <w:r>
        <w:t xml:space="preserve">Tokens de animación definidos.</w:t>
      </w:r>
    </w:p>
    <w:p>
      <w:pPr>
        <w:pStyle w:val="Compact"/>
        <w:numPr>
          <w:ilvl w:val="0"/>
          <w:numId w:val="1019"/>
        </w:numPr>
      </w:pPr>
      <w:r>
        <w:t xml:space="preserve">Estrategia de temas documentada.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20"/>
        </w:numPr>
      </w:pPr>
      <w:r>
        <w:t xml:space="preserve">A002_FRONTEND_ARCHITECTURE.md</w:t>
      </w:r>
    </w:p>
    <w:p>
      <w:pPr>
        <w:pStyle w:val="Compact"/>
        <w:numPr>
          <w:ilvl w:val="0"/>
          <w:numId w:val="1020"/>
        </w:numPr>
      </w:pPr>
      <w:r>
        <w:t xml:space="preserve">A003_UI_COMPONENT_ARCHITECTURE.md</w:t>
      </w:r>
    </w:p>
    <w:p>
      <w:pPr>
        <w:pStyle w:val="Compact"/>
        <w:numPr>
          <w:ilvl w:val="0"/>
          <w:numId w:val="1020"/>
        </w:numPr>
      </w:pPr>
      <w:r>
        <w:t xml:space="preserve">MONO001_MONOREPOSITORY_ARCHITECTURE.md</w:t>
      </w:r>
    </w:p>
    <w:p>
      <w:r>
        <w:pict>
          <v:rect style="width:0;height:1.5pt" o:hralign="center" o:hrstd="t" o:hr="t"/>
        </w:pict>
      </w:r>
    </w:p>
    <w:bookmarkEnd w:id="48"/>
    <w:bookmarkStart w:id="49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sistema oficial de Design Tokens.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2026-06-30T16:57:14Z</dcterms:created>
  <dcterms:modified xsi:type="dcterms:W3CDTF">2026-06-30T16:57:14Z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