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010-event-driven-architecture"/>
    <w:p>
      <w:pPr>
        <w:pStyle w:val="Heading1"/>
      </w:pPr>
      <w:r>
        <w:t xml:space="preserve">A010 — EVENT DRIVEN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de eventos de la plataforma.</w:t>
      </w:r>
    </w:p>
    <w:p>
      <w:pPr>
        <w:pStyle w:val="BodyText"/>
      </w:pPr>
      <w:r>
        <w:t xml:space="preserve">Todos los dominios deberán comunicarse mediante eventos de dominio, evitando dependencias directas entre módulos.</w:t>
      </w:r>
    </w:p>
    <w:p>
      <w:pPr>
        <w:pStyle w:val="BodyText"/>
      </w:pPr>
      <w:r>
        <w:t xml:space="preserve">Esta estrategia mejora la escalabilidad, la mantenibilidad y la capacidad de extender el sistema con nuevas funcionalidades.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Customers.</w:t>
      </w:r>
    </w:p>
    <w:p>
      <w:pPr>
        <w:pStyle w:val="Compact"/>
        <w:numPr>
          <w:ilvl w:val="0"/>
          <w:numId w:val="1001"/>
        </w:numPr>
      </w:pPr>
      <w:r>
        <w:t xml:space="preserve">Appointments.</w:t>
      </w:r>
    </w:p>
    <w:p>
      <w:pPr>
        <w:pStyle w:val="Compact"/>
        <w:numPr>
          <w:ilvl w:val="0"/>
          <w:numId w:val="1001"/>
        </w:numPr>
      </w:pPr>
      <w:r>
        <w:t xml:space="preserve">Orders.</w:t>
      </w:r>
    </w:p>
    <w:p>
      <w:pPr>
        <w:pStyle w:val="Compact"/>
        <w:numPr>
          <w:ilvl w:val="0"/>
          <w:numId w:val="1001"/>
        </w:numPr>
      </w:pPr>
      <w:r>
        <w:t xml:space="preserve">Products.</w:t>
      </w:r>
    </w:p>
    <w:p>
      <w:pPr>
        <w:pStyle w:val="Compact"/>
        <w:numPr>
          <w:ilvl w:val="0"/>
          <w:numId w:val="1001"/>
        </w:numPr>
      </w:pPr>
      <w:r>
        <w:t xml:space="preserve">Inventory.</w:t>
      </w:r>
    </w:p>
    <w:p>
      <w:pPr>
        <w:pStyle w:val="Compact"/>
        <w:numPr>
          <w:ilvl w:val="0"/>
          <w:numId w:val="1001"/>
        </w:numPr>
      </w:pPr>
      <w:r>
        <w:t xml:space="preserve">CRM.</w:t>
      </w:r>
    </w:p>
    <w:p>
      <w:pPr>
        <w:pStyle w:val="Compact"/>
        <w:numPr>
          <w:ilvl w:val="0"/>
          <w:numId w:val="1001"/>
        </w:numPr>
      </w:pPr>
      <w:r>
        <w:t xml:space="preserve">Marketing.</w:t>
      </w:r>
    </w:p>
    <w:p>
      <w:pPr>
        <w:pStyle w:val="Compact"/>
        <w:numPr>
          <w:ilvl w:val="0"/>
          <w:numId w:val="1001"/>
        </w:numPr>
      </w:pPr>
      <w:r>
        <w:t xml:space="preserve">Analytics.</w:t>
      </w:r>
    </w:p>
    <w:p>
      <w:pPr>
        <w:pStyle w:val="Compact"/>
        <w:numPr>
          <w:ilvl w:val="0"/>
          <w:numId w:val="1001"/>
        </w:numPr>
      </w:pPr>
      <w:r>
        <w:t xml:space="preserve">AI.</w:t>
      </w:r>
    </w:p>
    <w:p>
      <w:pPr>
        <w:pStyle w:val="Compact"/>
        <w:numPr>
          <w:ilvl w:val="0"/>
          <w:numId w:val="1001"/>
        </w:numPr>
      </w:pPr>
      <w:r>
        <w:t xml:space="preserve">Loyalty.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Los eventos deberán ser:</w:t>
      </w:r>
    </w:p>
    <w:p>
      <w:pPr>
        <w:pStyle w:val="Compact"/>
        <w:numPr>
          <w:ilvl w:val="0"/>
          <w:numId w:val="1002"/>
        </w:numPr>
      </w:pPr>
      <w:r>
        <w:t xml:space="preserve">Inmutables.</w:t>
      </w:r>
    </w:p>
    <w:p>
      <w:pPr>
        <w:pStyle w:val="Compact"/>
        <w:numPr>
          <w:ilvl w:val="0"/>
          <w:numId w:val="1002"/>
        </w:numPr>
      </w:pPr>
      <w:r>
        <w:t xml:space="preserve">Descriptivos.</w:t>
      </w:r>
    </w:p>
    <w:p>
      <w:pPr>
        <w:pStyle w:val="Compact"/>
        <w:numPr>
          <w:ilvl w:val="0"/>
          <w:numId w:val="1002"/>
        </w:numPr>
      </w:pPr>
      <w:r>
        <w:t xml:space="preserve">Versionables.</w:t>
      </w:r>
    </w:p>
    <w:p>
      <w:pPr>
        <w:pStyle w:val="Compact"/>
        <w:numPr>
          <w:ilvl w:val="0"/>
          <w:numId w:val="1002"/>
        </w:numPr>
      </w:pPr>
      <w:r>
        <w:t xml:space="preserve">Auditables.</w:t>
      </w:r>
    </w:p>
    <w:p>
      <w:pPr>
        <w:pStyle w:val="Compact"/>
        <w:numPr>
          <w:ilvl w:val="0"/>
          <w:numId w:val="1002"/>
        </w:numPr>
      </w:pPr>
      <w:r>
        <w:t xml:space="preserve">Independientes del transporte.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-general"/>
    <w:p>
      <w:pPr>
        <w:pStyle w:val="Heading1"/>
      </w:pPr>
      <w:r>
        <w:t xml:space="preserve">Arquitectura General</w:t>
      </w:r>
    </w:p>
    <w:p>
      <w:pPr>
        <w:pStyle w:val="FirstParagraph"/>
      </w:pPr>
      <w:r>
        <w:rPr>
          <w:rStyle w:val="VerbatimChar"/>
        </w:rPr>
        <w:t xml:space="preserve">text id="event-architecture" Dominio     │     ▼ Evento     │     ▼ Event Dispatcher     │     ├── Analytics     ├── CRM     ├── Marketing     ├── Loyalty     ├── AI     └── Notifications</w:t>
      </w:r>
    </w:p>
    <w:p>
      <w:pPr>
        <w:pStyle w:val="BodyText"/>
      </w:pPr>
      <w:r>
        <w:t xml:space="preserve">Los dominios publican eventos.</w:t>
      </w:r>
    </w:p>
    <w:p>
      <w:pPr>
        <w:pStyle w:val="BodyText"/>
      </w:pPr>
      <w:r>
        <w:t xml:space="preserve">Nunca invocan directamente a otros dominios.</w:t>
      </w:r>
    </w:p>
    <w:p>
      <w:r>
        <w:pict>
          <v:rect style="width:0;height:1.5pt" o:hralign="center" o:hrstd="t" o:hr="t"/>
        </w:pict>
      </w:r>
    </w:p>
    <w:bookmarkEnd w:id="25"/>
    <w:bookmarkStart w:id="26" w:name="flujo"/>
    <w:p>
      <w:pPr>
        <w:pStyle w:val="Heading1"/>
      </w:pPr>
      <w:r>
        <w:t xml:space="preserve">Flujo</w:t>
      </w:r>
    </w:p>
    <w:p>
      <w:pPr>
        <w:pStyle w:val="FirstParagraph"/>
      </w:pPr>
      <w:r>
        <w:t xml:space="preserve">```text id=</w:t>
      </w:r>
      <w:r>
        <w:t xml:space="preserve">“event-flow”</w:t>
      </w:r>
      <w:r>
        <w:t xml:space="preserve"> </w:t>
      </w:r>
      <w:r>
        <w:t xml:space="preserve">CreateAppointment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AppointmentCreated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Dispatcher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Cada consumidor es independiente.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Eventos de Dominio</w:t>
      </w:r>
      <w:r>
        <w:br/>
      </w:r>
      <w:r>
        <w:br/>
      </w:r>
      <w:r>
        <w:rPr>
          <w:rStyle w:val="VerbatimChar"/>
        </w:rPr>
        <w:t xml:space="preserve">## Customers</w:t>
      </w:r>
      <w:r>
        <w:br/>
      </w:r>
      <w:r>
        <w:br/>
      </w:r>
      <w:r>
        <w:rPr>
          <w:rStyle w:val="VerbatimChar"/>
        </w:rPr>
        <w:t xml:space="preserve">- CustomerCreated</w:t>
      </w:r>
      <w:r>
        <w:br/>
      </w:r>
      <w:r>
        <w:rPr>
          <w:rStyle w:val="VerbatimChar"/>
        </w:rPr>
        <w:t xml:space="preserve">- CustomerUpdated</w:t>
      </w:r>
      <w:r>
        <w:br/>
      </w:r>
      <w:r>
        <w:rPr>
          <w:rStyle w:val="VerbatimChar"/>
        </w:rPr>
        <w:t xml:space="preserve">- CustomerArchived</w:t>
      </w:r>
      <w:r>
        <w:br/>
      </w:r>
      <w:r>
        <w:rPr>
          <w:rStyle w:val="VerbatimChar"/>
        </w:rPr>
        <w:t xml:space="preserve">- CustomerRestored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Appointments</w:t>
      </w:r>
      <w:r>
        <w:br/>
      </w:r>
      <w:r>
        <w:br/>
      </w:r>
      <w:r>
        <w:rPr>
          <w:rStyle w:val="VerbatimChar"/>
        </w:rPr>
        <w:t xml:space="preserve">- AppointmentCreated</w:t>
      </w:r>
      <w:r>
        <w:br/>
      </w:r>
      <w:r>
        <w:rPr>
          <w:rStyle w:val="VerbatimChar"/>
        </w:rPr>
        <w:t xml:space="preserve">- AppointmentConfirmed</w:t>
      </w:r>
      <w:r>
        <w:br/>
      </w:r>
      <w:r>
        <w:rPr>
          <w:rStyle w:val="VerbatimChar"/>
        </w:rPr>
        <w:t xml:space="preserve">- AppointmentRescheduled</w:t>
      </w:r>
      <w:r>
        <w:br/>
      </w:r>
      <w:r>
        <w:rPr>
          <w:rStyle w:val="VerbatimChar"/>
        </w:rPr>
        <w:t xml:space="preserve">- AppointmentCancelled</w:t>
      </w:r>
      <w:r>
        <w:br/>
      </w:r>
      <w:r>
        <w:rPr>
          <w:rStyle w:val="VerbatimChar"/>
        </w:rPr>
        <w:t xml:space="preserve">- AppointmentCompleted</w:t>
      </w:r>
      <w:r>
        <w:br/>
      </w:r>
      <w:r>
        <w:rPr>
          <w:rStyle w:val="VerbatimChar"/>
        </w:rPr>
        <w:t xml:space="preserve">- AppointmentNoShow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Orders</w:t>
      </w:r>
      <w:r>
        <w:br/>
      </w:r>
      <w:r>
        <w:br/>
      </w:r>
      <w:r>
        <w:rPr>
          <w:rStyle w:val="VerbatimChar"/>
        </w:rPr>
        <w:t xml:space="preserve">- OrderCreated</w:t>
      </w:r>
      <w:r>
        <w:br/>
      </w:r>
      <w:r>
        <w:rPr>
          <w:rStyle w:val="VerbatimChar"/>
        </w:rPr>
        <w:t xml:space="preserve">- OrderPaid</w:t>
      </w:r>
      <w:r>
        <w:br/>
      </w:r>
      <w:r>
        <w:rPr>
          <w:rStyle w:val="VerbatimChar"/>
        </w:rPr>
        <w:t xml:space="preserve">- OrderCancelled</w:t>
      </w:r>
      <w:r>
        <w:br/>
      </w:r>
      <w:r>
        <w:rPr>
          <w:rStyle w:val="VerbatimChar"/>
        </w:rPr>
        <w:t xml:space="preserve">- OrderCompleted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Inventory</w:t>
      </w:r>
      <w:r>
        <w:br/>
      </w:r>
      <w:r>
        <w:br/>
      </w:r>
      <w:r>
        <w:rPr>
          <w:rStyle w:val="VerbatimChar"/>
        </w:rPr>
        <w:t xml:space="preserve">- StockReserved</w:t>
      </w:r>
      <w:r>
        <w:br/>
      </w:r>
      <w:r>
        <w:rPr>
          <w:rStyle w:val="VerbatimChar"/>
        </w:rPr>
        <w:t xml:space="preserve">- StockReleased</w:t>
      </w:r>
      <w:r>
        <w:br/>
      </w:r>
      <w:r>
        <w:rPr>
          <w:rStyle w:val="VerbatimChar"/>
        </w:rPr>
        <w:t xml:space="preserve">- StockUpdated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Loyalty</w:t>
      </w:r>
      <w:r>
        <w:br/>
      </w:r>
      <w:r>
        <w:br/>
      </w:r>
      <w:r>
        <w:rPr>
          <w:rStyle w:val="VerbatimChar"/>
        </w:rPr>
        <w:t xml:space="preserve">- PointsEarned</w:t>
      </w:r>
      <w:r>
        <w:br/>
      </w:r>
      <w:r>
        <w:rPr>
          <w:rStyle w:val="VerbatimChar"/>
        </w:rPr>
        <w:t xml:space="preserve">- PointsRedeemed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Estructura de un Evento</w:t>
      </w:r>
      <w:r>
        <w:br/>
      </w:r>
      <w:r>
        <w:br/>
      </w:r>
      <w:r>
        <w:rPr>
          <w:rStyle w:val="VerbatimChar"/>
        </w:rPr>
        <w:t xml:space="preserve">Todo evento deberá contener:</w:t>
      </w:r>
      <w:r>
        <w:br/>
      </w:r>
      <w:r>
        <w:br/>
      </w:r>
      <w:r>
        <w:rPr>
          <w:rStyle w:val="VerbatimChar"/>
        </w:rPr>
        <w:t xml:space="preserve">- eventId</w:t>
      </w:r>
      <w:r>
        <w:br/>
      </w:r>
      <w:r>
        <w:rPr>
          <w:rStyle w:val="VerbatimChar"/>
        </w:rPr>
        <w:t xml:space="preserve">- eventType</w:t>
      </w:r>
      <w:r>
        <w:br/>
      </w:r>
      <w:r>
        <w:rPr>
          <w:rStyle w:val="VerbatimChar"/>
        </w:rPr>
        <w:t xml:space="preserve">- eventVersion</w:t>
      </w:r>
      <w:r>
        <w:br/>
      </w:r>
      <w:r>
        <w:rPr>
          <w:rStyle w:val="VerbatimChar"/>
        </w:rPr>
        <w:t xml:space="preserve">- occurredAt</w:t>
      </w:r>
      <w:r>
        <w:br/>
      </w:r>
      <w:r>
        <w:rPr>
          <w:rStyle w:val="VerbatimChar"/>
        </w:rPr>
        <w:t xml:space="preserve">- organizationId</w:t>
      </w:r>
      <w:r>
        <w:br/>
      </w:r>
      <w:r>
        <w:rPr>
          <w:rStyle w:val="VerbatimChar"/>
        </w:rPr>
        <w:t xml:space="preserve">- aggregateId</w:t>
      </w:r>
      <w:r>
        <w:br/>
      </w:r>
      <w:r>
        <w:rPr>
          <w:rStyle w:val="VerbatimChar"/>
        </w:rPr>
        <w:t xml:space="preserve">- correlationId</w:t>
      </w:r>
      <w:r>
        <w:br/>
      </w:r>
      <w:r>
        <w:rPr>
          <w:rStyle w:val="VerbatimChar"/>
        </w:rPr>
        <w:t xml:space="preserve">- payload</w:t>
      </w:r>
      <w:r>
        <w:br/>
      </w:r>
      <w:r>
        <w:br/>
      </w:r>
      <w:r>
        <w:rPr>
          <w:rStyle w:val="VerbatimChar"/>
        </w:rPr>
        <w:t xml:space="preserve">El payload contendrá únicamente la información necesaria para los consumidores.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Nomenclatura</w:t>
      </w:r>
      <w:r>
        <w:br/>
      </w:r>
      <w:r>
        <w:br/>
      </w:r>
      <w:r>
        <w:rPr>
          <w:rStyle w:val="VerbatimChar"/>
        </w:rPr>
        <w:t xml:space="preserve">Los eventos seguirán el patrón:</w:t>
      </w:r>
      <w:r>
        <w:br/>
      </w:r>
      <w:r>
        <w:br/>
      </w:r>
      <w:r>
        <w:rPr>
          <w:rStyle w:val="VerbatimChar"/>
        </w:rPr>
        <w:t xml:space="preserve">```text id="event-name-pattern"</w:t>
      </w:r>
      <w:r>
        <w:br/>
      </w:r>
      <w:r>
        <w:rPr>
          <w:rStyle w:val="VerbatimChar"/>
        </w:rPr>
        <w:t xml:space="preserve">Entidad + Acción en pasado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CustomerCreated</w:t>
      </w:r>
    </w:p>
    <w:p>
      <w:pPr>
        <w:pStyle w:val="Compact"/>
        <w:numPr>
          <w:ilvl w:val="0"/>
          <w:numId w:val="1003"/>
        </w:numPr>
      </w:pPr>
      <w:r>
        <w:t xml:space="preserve">AppointmentCompleted</w:t>
      </w:r>
    </w:p>
    <w:p>
      <w:pPr>
        <w:pStyle w:val="Compact"/>
        <w:numPr>
          <w:ilvl w:val="0"/>
          <w:numId w:val="1003"/>
        </w:numPr>
      </w:pPr>
      <w:r>
        <w:t xml:space="preserve">OrderPaid</w:t>
      </w:r>
    </w:p>
    <w:p>
      <w:pPr>
        <w:pStyle w:val="FirstParagraph"/>
      </w:pPr>
      <w:r>
        <w:t xml:space="preserve">No se utilizarán nombres ambiguos como: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</w:p>
    <w:p>
      <w:pPr>
        <w:pStyle w:val="Compact"/>
        <w:numPr>
          <w:ilvl w:val="0"/>
          <w:numId w:val="1004"/>
        </w:numPr>
      </w:pPr>
      <w:r>
        <w:t xml:space="preserve">Change</w:t>
      </w:r>
    </w:p>
    <w:p>
      <w:pPr>
        <w:pStyle w:val="Compact"/>
        <w:numPr>
          <w:ilvl w:val="0"/>
          <w:numId w:val="1004"/>
        </w:numPr>
      </w:pPr>
      <w:r>
        <w:t xml:space="preserve">Process</w:t>
      </w:r>
    </w:p>
    <w:p>
      <w:r>
        <w:pict>
          <v:rect style="width:0;height:1.5pt" o:hralign="center" o:hrstd="t" o:hr="t"/>
        </w:pict>
      </w:r>
    </w:p>
    <w:bookmarkEnd w:id="26"/>
    <w:bookmarkStart w:id="27" w:name="publicación"/>
    <w:p>
      <w:pPr>
        <w:pStyle w:val="Heading1"/>
      </w:pPr>
      <w:r>
        <w:t xml:space="preserve">Publicación</w:t>
      </w:r>
    </w:p>
    <w:p>
      <w:pPr>
        <w:pStyle w:val="FirstParagraph"/>
      </w:pPr>
      <w:r>
        <w:t xml:space="preserve">La publicación de eventos será responsabilidad de la capa de aplicación tras completar con éxito el caso de uso.</w:t>
      </w:r>
    </w:p>
    <w:p>
      <w:pPr>
        <w:pStyle w:val="BodyText"/>
      </w:pPr>
      <w:r>
        <w:t xml:space="preserve">No se publicarán eventos si la operación falla.</w:t>
      </w:r>
    </w:p>
    <w:p>
      <w:r>
        <w:pict>
          <v:rect style="width:0;height:1.5pt" o:hralign="center" o:hrstd="t" o:hr="t"/>
        </w:pict>
      </w:r>
    </w:p>
    <w:bookmarkEnd w:id="27"/>
    <w:bookmarkStart w:id="28" w:name="consumo"/>
    <w:p>
      <w:pPr>
        <w:pStyle w:val="Heading1"/>
      </w:pPr>
      <w:r>
        <w:t xml:space="preserve">Consumo</w:t>
      </w:r>
    </w:p>
    <w:p>
      <w:pPr>
        <w:pStyle w:val="FirstParagraph"/>
      </w:pPr>
      <w:r>
        <w:t xml:space="preserve">Los consumidores deberán:</w:t>
      </w:r>
    </w:p>
    <w:p>
      <w:pPr>
        <w:pStyle w:val="Compact"/>
        <w:numPr>
          <w:ilvl w:val="0"/>
          <w:numId w:val="1005"/>
        </w:numPr>
      </w:pPr>
      <w:r>
        <w:t xml:space="preserve">Ser independientes.</w:t>
      </w:r>
    </w:p>
    <w:p>
      <w:pPr>
        <w:pStyle w:val="Compact"/>
        <w:numPr>
          <w:ilvl w:val="0"/>
          <w:numId w:val="1005"/>
        </w:numPr>
      </w:pPr>
      <w:r>
        <w:t xml:space="preserve">Ser idempotentes.</w:t>
      </w:r>
    </w:p>
    <w:p>
      <w:pPr>
        <w:pStyle w:val="Compact"/>
        <w:numPr>
          <w:ilvl w:val="0"/>
          <w:numId w:val="1005"/>
        </w:numPr>
      </w:pPr>
      <w:r>
        <w:t xml:space="preserve">Registrar errores.</w:t>
      </w:r>
    </w:p>
    <w:p>
      <w:pPr>
        <w:pStyle w:val="Compact"/>
        <w:numPr>
          <w:ilvl w:val="0"/>
          <w:numId w:val="1005"/>
        </w:numPr>
      </w:pPr>
      <w:r>
        <w:t xml:space="preserve">Poder reintentarse.</w:t>
      </w:r>
    </w:p>
    <w:p>
      <w:pPr>
        <w:pStyle w:val="FirstParagraph"/>
      </w:pPr>
      <w:r>
        <w:t xml:space="preserve">Un fallo en un consumidor no deberá afectar al resto.</w:t>
      </w:r>
    </w:p>
    <w:p>
      <w:r>
        <w:pict>
          <v:rect style="width:0;height:1.5pt" o:hralign="center" o:hrstd="t" o:hr="t"/>
        </w:pict>
      </w:r>
    </w:p>
    <w:bookmarkEnd w:id="28"/>
    <w:bookmarkStart w:id="29" w:name="versionado"/>
    <w:p>
      <w:pPr>
        <w:pStyle w:val="Heading1"/>
      </w:pPr>
      <w:r>
        <w:t xml:space="preserve">Versionado</w:t>
      </w:r>
    </w:p>
    <w:p>
      <w:pPr>
        <w:pStyle w:val="FirstParagraph"/>
      </w:pPr>
      <w:r>
        <w:t xml:space="preserve">Los eventos incluirán un número de versión.</w:t>
      </w:r>
    </w:p>
    <w:p>
      <w:pPr>
        <w:pStyle w:val="BodyText"/>
      </w:pPr>
      <w:r>
        <w:t xml:space="preserve">Los cambios incompatibles requerirán una nueva versión del evento, manteniendo la compatibilidad mientras existan consumidores antiguos.</w:t>
      </w:r>
    </w:p>
    <w:p>
      <w:r>
        <w:pict>
          <v:rect style="width:0;height:1.5pt" o:hralign="center" o:hrstd="t" o:hr="t"/>
        </w:pict>
      </w:r>
    </w:p>
    <w:bookmarkEnd w:id="29"/>
    <w:bookmarkStart w:id="30" w:name="garantías"/>
    <w:p>
      <w:pPr>
        <w:pStyle w:val="Heading1"/>
      </w:pPr>
      <w:r>
        <w:t xml:space="preserve">Garantías</w:t>
      </w:r>
    </w:p>
    <w:p>
      <w:pPr>
        <w:pStyle w:val="FirstParagraph"/>
      </w:pPr>
      <w:r>
        <w:t xml:space="preserve">La arquitectura buscará garantizar que:</w:t>
      </w:r>
    </w:p>
    <w:p>
      <w:pPr>
        <w:pStyle w:val="Compact"/>
        <w:numPr>
          <w:ilvl w:val="0"/>
          <w:numId w:val="1006"/>
        </w:numPr>
      </w:pPr>
      <w:r>
        <w:t xml:space="preserve">Un mismo evento no produzca efectos duplicados.</w:t>
      </w:r>
    </w:p>
    <w:p>
      <w:pPr>
        <w:pStyle w:val="Compact"/>
        <w:numPr>
          <w:ilvl w:val="0"/>
          <w:numId w:val="1006"/>
        </w:numPr>
      </w:pPr>
      <w:r>
        <w:t xml:space="preserve">Los consumidores puedan recuperarse tras un fallo.</w:t>
      </w:r>
    </w:p>
    <w:p>
      <w:pPr>
        <w:pStyle w:val="Compact"/>
        <w:numPr>
          <w:ilvl w:val="0"/>
          <w:numId w:val="1006"/>
        </w:numPr>
      </w:pPr>
      <w:r>
        <w:t xml:space="preserve">Los eventos sean trazables mediante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.</w:t>
      </w:r>
    </w:p>
    <w:p>
      <w:pPr>
        <w:pStyle w:val="FirstParagraph"/>
      </w:pPr>
      <w:r>
        <w:t xml:space="preserve">El mecanismo concreto de entrega dependerá de la infraestructura elegida.</w:t>
      </w:r>
    </w:p>
    <w:p>
      <w:r>
        <w:pict>
          <v:rect style="width:0;height:1.5pt" o:hralign="center" o:hrstd="t" o:hr="t"/>
        </w:pict>
      </w:r>
    </w:p>
    <w:bookmarkEnd w:id="30"/>
    <w:bookmarkStart w:id="31" w:name="observabilidad"/>
    <w:p>
      <w:pPr>
        <w:pStyle w:val="Heading1"/>
      </w:pPr>
      <w:r>
        <w:t xml:space="preserve">Observabilidad</w:t>
      </w:r>
    </w:p>
    <w:p>
      <w:pPr>
        <w:pStyle w:val="FirstParagraph"/>
      </w:pPr>
      <w:r>
        <w:t xml:space="preserve">Cada evento registrará:</w:t>
      </w:r>
    </w:p>
    <w:p>
      <w:pPr>
        <w:pStyle w:val="Compact"/>
        <w:numPr>
          <w:ilvl w:val="0"/>
          <w:numId w:val="1007"/>
        </w:numPr>
      </w:pPr>
      <w:r>
        <w:t xml:space="preserve">Fecha.</w:t>
      </w:r>
    </w:p>
    <w:p>
      <w:pPr>
        <w:pStyle w:val="Compact"/>
        <w:numPr>
          <w:ilvl w:val="0"/>
          <w:numId w:val="1007"/>
        </w:numPr>
      </w:pPr>
      <w:r>
        <w:t xml:space="preserve">Productor.</w:t>
      </w:r>
    </w:p>
    <w:p>
      <w:pPr>
        <w:pStyle w:val="Compact"/>
        <w:numPr>
          <w:ilvl w:val="0"/>
          <w:numId w:val="1007"/>
        </w:numPr>
      </w:pPr>
      <w:r>
        <w:t xml:space="preserve">Consumidores.</w:t>
      </w:r>
    </w:p>
    <w:p>
      <w:pPr>
        <w:pStyle w:val="Compact"/>
        <w:numPr>
          <w:ilvl w:val="0"/>
          <w:numId w:val="1007"/>
        </w:numPr>
      </w:pPr>
      <w:r>
        <w:t xml:space="preserve">Duración.</w:t>
      </w:r>
    </w:p>
    <w:p>
      <w:pPr>
        <w:pStyle w:val="Compact"/>
        <w:numPr>
          <w:ilvl w:val="0"/>
          <w:numId w:val="1007"/>
        </w:numPr>
      </w:pPr>
      <w:r>
        <w:t xml:space="preserve">Resultado.</w:t>
      </w:r>
    </w:p>
    <w:p>
      <w:pPr>
        <w:pStyle w:val="Compact"/>
        <w:numPr>
          <w:ilvl w:val="0"/>
          <w:numId w:val="1007"/>
        </w:numPr>
      </w:pPr>
      <w:r>
        <w:t xml:space="preserve">Errores.</w:t>
      </w:r>
    </w:p>
    <w:p>
      <w:r>
        <w:pict>
          <v:rect style="width:0;height:1.5pt" o:hralign="center" o:hrstd="t" o:hr="t"/>
        </w:pict>
      </w:r>
    </w:p>
    <w:bookmarkEnd w:id="31"/>
    <w:bookmarkStart w:id="32" w:name="integración"/>
    <w:p>
      <w:pPr>
        <w:pStyle w:val="Heading1"/>
      </w:pPr>
      <w:r>
        <w:t xml:space="preserve">Integración</w:t>
      </w:r>
    </w:p>
    <w:p>
      <w:pPr>
        <w:pStyle w:val="FirstParagraph"/>
      </w:pPr>
      <w:r>
        <w:t xml:space="preserve">Los eventos podrán ser utilizados por:</w:t>
      </w:r>
    </w:p>
    <w:p>
      <w:pPr>
        <w:pStyle w:val="Compact"/>
        <w:numPr>
          <w:ilvl w:val="0"/>
          <w:numId w:val="1008"/>
        </w:numPr>
      </w:pPr>
      <w:r>
        <w:t xml:space="preserve">Cloud Functions.</w:t>
      </w:r>
    </w:p>
    <w:p>
      <w:pPr>
        <w:pStyle w:val="Compact"/>
        <w:numPr>
          <w:ilvl w:val="0"/>
          <w:numId w:val="1008"/>
        </w:numPr>
      </w:pPr>
      <w:r>
        <w:t xml:space="preserve">Procesos en segundo plano.</w:t>
      </w:r>
    </w:p>
    <w:p>
      <w:pPr>
        <w:pStyle w:val="Compact"/>
        <w:numPr>
          <w:ilvl w:val="0"/>
          <w:numId w:val="1008"/>
        </w:numPr>
      </w:pPr>
      <w:r>
        <w:t xml:space="preserve">IA.</w:t>
      </w:r>
    </w:p>
    <w:p>
      <w:pPr>
        <w:pStyle w:val="Compact"/>
        <w:numPr>
          <w:ilvl w:val="0"/>
          <w:numId w:val="1008"/>
        </w:numPr>
      </w:pPr>
      <w:r>
        <w:t xml:space="preserve">Marketing.</w:t>
      </w:r>
    </w:p>
    <w:p>
      <w:pPr>
        <w:pStyle w:val="Compact"/>
        <w:numPr>
          <w:ilvl w:val="0"/>
          <w:numId w:val="1008"/>
        </w:numPr>
      </w:pPr>
      <w:r>
        <w:t xml:space="preserve">Analítica.</w:t>
      </w:r>
    </w:p>
    <w:p>
      <w:pPr>
        <w:pStyle w:val="FirstParagraph"/>
      </w:pPr>
      <w:r>
        <w:t xml:space="preserve">Sin modificar el código del dominio que los originó.</w:t>
      </w:r>
    </w:p>
    <w:p>
      <w:r>
        <w:pict>
          <v:rect style="width:0;height:1.5pt" o:hralign="center" o:hrstd="t" o:hr="t"/>
        </w:pict>
      </w:r>
    </w:p>
    <w:bookmarkEnd w:id="32"/>
    <w:bookmarkStart w:id="33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09"/>
        </w:numPr>
      </w:pPr>
      <w:r>
        <w:t xml:space="preserve">Eventos demasiado grandes.</w:t>
      </w:r>
    </w:p>
    <w:p>
      <w:pPr>
        <w:pStyle w:val="Compact"/>
        <w:numPr>
          <w:ilvl w:val="0"/>
          <w:numId w:val="1009"/>
        </w:numPr>
      </w:pPr>
      <w:r>
        <w:t xml:space="preserve">Acoplamiento mediante el payload.</w:t>
      </w:r>
    </w:p>
    <w:p>
      <w:pPr>
        <w:pStyle w:val="Compact"/>
        <w:numPr>
          <w:ilvl w:val="0"/>
          <w:numId w:val="1009"/>
        </w:numPr>
      </w:pPr>
      <w:r>
        <w:t xml:space="preserve">Falta de versionado.</w:t>
      </w:r>
    </w:p>
    <w:p>
      <w:pPr>
        <w:pStyle w:val="Compact"/>
        <w:numPr>
          <w:ilvl w:val="0"/>
          <w:numId w:val="1009"/>
        </w:numPr>
      </w:pPr>
      <w:r>
        <w:t xml:space="preserve">Consumidores no idempotentes.</w:t>
      </w:r>
    </w:p>
    <w:p>
      <w:pPr>
        <w:pStyle w:val="FirstParagraph"/>
      </w:pPr>
      <w:r>
        <w:t xml:space="preserve">Cada nuevo evento deberá revisarse arquitectónicamente.</w:t>
      </w:r>
    </w:p>
    <w:p>
      <w:r>
        <w:pict>
          <v:rect style="width:0;height:1.5pt" o:hralign="center" o:hrstd="t" o:hr="t"/>
        </w:pict>
      </w:r>
    </w:p>
    <w:bookmarkEnd w:id="33"/>
    <w:bookmarkStart w:id="34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0"/>
        </w:numPr>
      </w:pPr>
      <w:r>
        <w:t xml:space="preserve">Convención de nombres definida.</w:t>
      </w:r>
    </w:p>
    <w:p>
      <w:pPr>
        <w:pStyle w:val="Compact"/>
        <w:numPr>
          <w:ilvl w:val="0"/>
          <w:numId w:val="1010"/>
        </w:numPr>
      </w:pPr>
      <w:r>
        <w:t xml:space="preserve">Estructura del evento aprobada.</w:t>
      </w:r>
    </w:p>
    <w:p>
      <w:pPr>
        <w:pStyle w:val="Compact"/>
        <w:numPr>
          <w:ilvl w:val="0"/>
          <w:numId w:val="1010"/>
        </w:numPr>
      </w:pPr>
      <w:r>
        <w:t xml:space="preserve">Estrategia de publicación documentada.</w:t>
      </w:r>
    </w:p>
    <w:p>
      <w:pPr>
        <w:pStyle w:val="Compact"/>
        <w:numPr>
          <w:ilvl w:val="0"/>
          <w:numId w:val="1010"/>
        </w:numPr>
      </w:pPr>
      <w:r>
        <w:t xml:space="preserve">Estrategia de consumo definida.</w:t>
      </w:r>
    </w:p>
    <w:p>
      <w:pPr>
        <w:pStyle w:val="Compact"/>
        <w:numPr>
          <w:ilvl w:val="0"/>
          <w:numId w:val="1010"/>
        </w:numPr>
      </w:pPr>
      <w:r>
        <w:t xml:space="preserve">Versionado incluido.</w:t>
      </w:r>
    </w:p>
    <w:p>
      <w:pPr>
        <w:pStyle w:val="Compact"/>
        <w:numPr>
          <w:ilvl w:val="0"/>
          <w:numId w:val="1010"/>
        </w:numPr>
      </w:pPr>
      <w:r>
        <w:t xml:space="preserve">Observabilidad integrada.</w:t>
      </w:r>
    </w:p>
    <w:p>
      <w:r>
        <w:pict>
          <v:rect style="width:0;height:1.5pt" o:hralign="center" o:hrstd="t" o:hr="t"/>
        </w:pict>
      </w:r>
    </w:p>
    <w:bookmarkEnd w:id="34"/>
    <w:bookmarkStart w:id="35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1"/>
        </w:numPr>
      </w:pPr>
      <w:r>
        <w:t xml:space="preserve">A009_CONCURRENCY_AND_CONSISTENCY_STRATEGY.md</w:t>
      </w:r>
    </w:p>
    <w:p>
      <w:pPr>
        <w:pStyle w:val="Compact"/>
        <w:numPr>
          <w:ilvl w:val="0"/>
          <w:numId w:val="1011"/>
        </w:numPr>
      </w:pPr>
      <w:r>
        <w:t xml:space="preserve">FB003_CLOUD_FUNCTIONS_ARCHITECTURE.md</w:t>
      </w:r>
    </w:p>
    <w:p>
      <w:pPr>
        <w:pStyle w:val="Compact"/>
        <w:numPr>
          <w:ilvl w:val="0"/>
          <w:numId w:val="1011"/>
        </w:numPr>
      </w:pPr>
      <w:r>
        <w:t xml:space="preserve">CORE003_LOGGING_AND_OBSERVABILITY_ARCHITECTURE.md</w:t>
      </w:r>
    </w:p>
    <w:p>
      <w:pPr>
        <w:pStyle w:val="Compact"/>
        <w:numPr>
          <w:ilvl w:val="0"/>
          <w:numId w:val="1011"/>
        </w:numPr>
      </w:pPr>
      <w:r>
        <w:t xml:space="preserve">CUSTOMER003_CUSTOMER_USE_CASES.md</w:t>
      </w:r>
    </w:p>
    <w:p>
      <w:pPr>
        <w:pStyle w:val="Compact"/>
        <w:numPr>
          <w:ilvl w:val="0"/>
          <w:numId w:val="1011"/>
        </w:numPr>
      </w:pPr>
      <w:r>
        <w:t xml:space="preserve">APP003_APPOINTMENT_USE_CASES.md</w:t>
      </w:r>
    </w:p>
    <w:p>
      <w:r>
        <w:pict>
          <v:rect style="width:0;height:1.5pt" o:hralign="center" o:hrstd="t" o:hr="t"/>
        </w:pict>
      </w:r>
    </w:p>
    <w:bookmarkEnd w:id="35"/>
    <w:bookmarkStart w:id="36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 comunicación basada en eventos.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2026-06-30T17:10:47Z</dcterms:created>
  <dcterms:modified xsi:type="dcterms:W3CDTF">2026-06-30T17:10:47Z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