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fb003-cloud-functions-architecture"/>
    <w:p>
      <w:pPr>
        <w:pStyle w:val="Heading1"/>
      </w:pPr>
      <w:r>
        <w:t xml:space="preserve">FB003 — CLOUD FUNCTIONS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oficial del backend basado en Firebase Cloud Functions.</w:t>
      </w:r>
    </w:p>
    <w:p>
      <w:pPr>
        <w:pStyle w:val="BodyText"/>
      </w:pPr>
      <w:r>
        <w:t xml:space="preserve">Las Cloud Functions serán tratadas como una capa de aplicación del backend y no como funciones aisladas.</w:t>
      </w:r>
    </w:p>
    <w:p>
      <w:pPr>
        <w:pStyle w:val="BodyText"/>
      </w:pPr>
      <w:r>
        <w:t xml:space="preserve">Toda lógica de negocio crítica, integraciones externas y operaciones sensibles deberán ejecutarse en esta capa.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Firebase Cloud Functions.</w:t>
      </w:r>
    </w:p>
    <w:p>
      <w:pPr>
        <w:pStyle w:val="Compact"/>
        <w:numPr>
          <w:ilvl w:val="0"/>
          <w:numId w:val="1001"/>
        </w:numPr>
      </w:pPr>
      <w:r>
        <w:t xml:space="preserve">Casos de uso del backend.</w:t>
      </w:r>
    </w:p>
    <w:p>
      <w:pPr>
        <w:pStyle w:val="Compact"/>
        <w:numPr>
          <w:ilvl w:val="0"/>
          <w:numId w:val="1001"/>
        </w:numPr>
      </w:pPr>
      <w:r>
        <w:t xml:space="preserve">Integraciones externas.</w:t>
      </w:r>
    </w:p>
    <w:p>
      <w:pPr>
        <w:pStyle w:val="Compact"/>
        <w:numPr>
          <w:ilvl w:val="0"/>
          <w:numId w:val="1001"/>
        </w:numPr>
      </w:pPr>
      <w:r>
        <w:t xml:space="preserve">Eventos.</w:t>
      </w:r>
    </w:p>
    <w:p>
      <w:pPr>
        <w:pStyle w:val="Compact"/>
        <w:numPr>
          <w:ilvl w:val="0"/>
          <w:numId w:val="1001"/>
        </w:numPr>
      </w:pPr>
      <w:r>
        <w:t xml:space="preserve">Tareas programadas.</w:t>
      </w:r>
    </w:p>
    <w:p>
      <w:pPr>
        <w:pStyle w:val="Compact"/>
        <w:numPr>
          <w:ilvl w:val="0"/>
          <w:numId w:val="1001"/>
        </w:numPr>
      </w:pPr>
      <w:r>
        <w:t xml:space="preserve">Funciones HTTP.</w:t>
      </w:r>
    </w:p>
    <w:p>
      <w:pPr>
        <w:pStyle w:val="Compact"/>
        <w:numPr>
          <w:ilvl w:val="0"/>
          <w:numId w:val="1001"/>
        </w:numPr>
      </w:pPr>
      <w:r>
        <w:t xml:space="preserve">Funciones Callable.</w:t>
      </w:r>
    </w:p>
    <w:p>
      <w:pPr>
        <w:pStyle w:val="Compact"/>
        <w:numPr>
          <w:ilvl w:val="0"/>
          <w:numId w:val="1001"/>
        </w:numPr>
      </w:pPr>
      <w:r>
        <w:t xml:space="preserve">Triggers de Firestore.</w:t>
      </w:r>
    </w:p>
    <w:p>
      <w:pPr>
        <w:pStyle w:val="Compact"/>
        <w:numPr>
          <w:ilvl w:val="0"/>
          <w:numId w:val="1001"/>
        </w:numPr>
      </w:pPr>
      <w:r>
        <w:t xml:space="preserve">Triggers de Authentication.</w:t>
      </w:r>
    </w:p>
    <w:p>
      <w:pPr>
        <w:pStyle w:val="Compact"/>
        <w:numPr>
          <w:ilvl w:val="0"/>
          <w:numId w:val="1001"/>
        </w:numPr>
      </w:pPr>
      <w:r>
        <w:t xml:space="preserve">Triggers de Storage.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El backend deberá:</w:t>
      </w:r>
    </w:p>
    <w:p>
      <w:pPr>
        <w:pStyle w:val="Compact"/>
        <w:numPr>
          <w:ilvl w:val="0"/>
          <w:numId w:val="1002"/>
        </w:numPr>
      </w:pPr>
      <w:r>
        <w:t xml:space="preserve">Centralizar lógica crítica.</w:t>
      </w:r>
    </w:p>
    <w:p>
      <w:pPr>
        <w:pStyle w:val="Compact"/>
        <w:numPr>
          <w:ilvl w:val="0"/>
          <w:numId w:val="1002"/>
        </w:numPr>
      </w:pPr>
      <w:r>
        <w:t xml:space="preserve">Reducir la superficie de ataque.</w:t>
      </w:r>
    </w:p>
    <w:p>
      <w:pPr>
        <w:pStyle w:val="Compact"/>
        <w:numPr>
          <w:ilvl w:val="0"/>
          <w:numId w:val="1002"/>
        </w:numPr>
      </w:pPr>
      <w:r>
        <w:t xml:space="preserve">Facilitar pruebas.</w:t>
      </w:r>
    </w:p>
    <w:p>
      <w:pPr>
        <w:pStyle w:val="Compact"/>
        <w:numPr>
          <w:ilvl w:val="0"/>
          <w:numId w:val="1002"/>
        </w:numPr>
      </w:pPr>
      <w:r>
        <w:t xml:space="preserve">Mantener independencia de Firebase.</w:t>
      </w:r>
    </w:p>
    <w:p>
      <w:pPr>
        <w:pStyle w:val="Compact"/>
        <w:numPr>
          <w:ilvl w:val="0"/>
          <w:numId w:val="1002"/>
        </w:numPr>
      </w:pPr>
      <w:r>
        <w:t xml:space="preserve">Reutilizar componentes del Core.</w:t>
      </w:r>
    </w:p>
    <w:p>
      <w:pPr>
        <w:pStyle w:val="Compact"/>
        <w:numPr>
          <w:ilvl w:val="0"/>
          <w:numId w:val="1002"/>
        </w:numPr>
      </w:pPr>
      <w:r>
        <w:t xml:space="preserve">Escalar de forma modular.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Las funciones deberán cumplir:</w:t>
      </w:r>
    </w:p>
    <w:p>
      <w:pPr>
        <w:pStyle w:val="Compact"/>
        <w:numPr>
          <w:ilvl w:val="0"/>
          <w:numId w:val="1003"/>
        </w:numPr>
      </w:pPr>
      <w:r>
        <w:t xml:space="preserve">Clean Architecture.</w:t>
      </w:r>
    </w:p>
    <w:p>
      <w:pPr>
        <w:pStyle w:val="Compact"/>
        <w:numPr>
          <w:ilvl w:val="0"/>
          <w:numId w:val="1003"/>
        </w:numPr>
      </w:pPr>
      <w:r>
        <w:t xml:space="preserve">SOLID.</w:t>
      </w:r>
    </w:p>
    <w:p>
      <w:pPr>
        <w:pStyle w:val="Compact"/>
        <w:numPr>
          <w:ilvl w:val="0"/>
          <w:numId w:val="1003"/>
        </w:numPr>
      </w:pPr>
      <w:r>
        <w:t xml:space="preserve">Responsabilidad única.</w:t>
      </w:r>
    </w:p>
    <w:p>
      <w:pPr>
        <w:pStyle w:val="Compact"/>
        <w:numPr>
          <w:ilvl w:val="0"/>
          <w:numId w:val="1003"/>
        </w:numPr>
      </w:pPr>
      <w:r>
        <w:t xml:space="preserve">Bajo acoplamiento.</w:t>
      </w:r>
    </w:p>
    <w:p>
      <w:pPr>
        <w:pStyle w:val="Compact"/>
        <w:numPr>
          <w:ilvl w:val="0"/>
          <w:numId w:val="1003"/>
        </w:numPr>
      </w:pPr>
      <w:r>
        <w:t xml:space="preserve">Alta cohesión.</w:t>
      </w:r>
    </w:p>
    <w:p>
      <w:pPr>
        <w:pStyle w:val="Compact"/>
        <w:numPr>
          <w:ilvl w:val="0"/>
          <w:numId w:val="1003"/>
        </w:numPr>
      </w:pPr>
      <w:r>
        <w:t xml:space="preserve">Reutilización.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-general"/>
    <w:p>
      <w:pPr>
        <w:pStyle w:val="Heading1"/>
      </w:pPr>
      <w:r>
        <w:t xml:space="preserve">Arquitectura General</w:t>
      </w:r>
    </w:p>
    <w:p>
      <w:pPr>
        <w:pStyle w:val="FirstParagraph"/>
      </w:pPr>
      <w:r>
        <w:rPr>
          <w:rStyle w:val="VerbatimChar"/>
        </w:rPr>
        <w:t xml:space="preserve">text id="backend-architecture" Cliente     │     ▼ Cloud Function (Entry Point)     │     ▼ Application Layer     │     ▼ Use Cases     │     ▼ Domain     │     ▼ Repository Interfaces     │     ▼ Infrastructure     │     ▼ Firestore / Storage / Servicios externos</w:t>
      </w:r>
    </w:p>
    <w:p>
      <w:pPr>
        <w:pStyle w:val="BodyText"/>
      </w:pPr>
      <w:r>
        <w:t xml:space="preserve">Cada capa tiene una responsabilidad claramente definida.</w:t>
      </w:r>
    </w:p>
    <w:p>
      <w:r>
        <w:pict>
          <v:rect style="width:0;height:1.5pt" o:hralign="center" o:hrstd="t" o:hr="t"/>
        </w:pict>
      </w:r>
    </w:p>
    <w:bookmarkEnd w:id="26"/>
    <w:bookmarkStart w:id="27" w:name="organización-del-backend"/>
    <w:p>
      <w:pPr>
        <w:pStyle w:val="Heading1"/>
      </w:pPr>
      <w:r>
        <w:t xml:space="preserve">Organización del Backend</w:t>
      </w:r>
    </w:p>
    <w:p>
      <w:pPr>
        <w:pStyle w:val="FirstParagraph"/>
      </w:pPr>
      <w:r>
        <w:rPr>
          <w:rStyle w:val="VerbatimChar"/>
        </w:rPr>
        <w:t xml:space="preserve">text id="functions-structure" firebase/ └── functions/     ├── src/     │   ├── app/     │   ├── domains/     │   ├── infrastructure/     │   ├── shared/     │   ├── triggers/     │   ├── callable/     │   ├── http/     │   ├── scheduled/     │   ├── config/     │   └── index.ts     ├── package.json     └── tsconfig.json</w:t>
      </w:r>
    </w:p>
    <w:p>
      <w:pPr>
        <w:pStyle w:val="BodyText"/>
      </w:pPr>
      <w:r>
        <w:t xml:space="preserve">La estructura replica la arquitectura definida para el resto de la plataforma.</w:t>
      </w:r>
    </w:p>
    <w:p>
      <w:r>
        <w:pict>
          <v:rect style="width:0;height:1.5pt" o:hralign="center" o:hrstd="t" o:hr="t"/>
        </w:pict>
      </w:r>
    </w:p>
    <w:bookmarkEnd w:id="27"/>
    <w:bookmarkStart w:id="34" w:name="tipos-de-funciones"/>
    <w:p>
      <w:pPr>
        <w:pStyle w:val="Heading1"/>
      </w:pPr>
      <w:r>
        <w:t xml:space="preserve">Tipos de Funciones</w:t>
      </w:r>
    </w:p>
    <w:bookmarkStart w:id="28" w:name="http"/>
    <w:p>
      <w:pPr>
        <w:pStyle w:val="Heading2"/>
      </w:pPr>
      <w:r>
        <w:t xml:space="preserve">HTTP</w:t>
      </w:r>
    </w:p>
    <w:p>
      <w:pPr>
        <w:pStyle w:val="FirstParagraph"/>
      </w:pPr>
      <w:r>
        <w:t xml:space="preserve">Exponen endpoints cuando sea necesario integrar con sistemas externos.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Webhooks.</w:t>
      </w:r>
    </w:p>
    <w:p>
      <w:pPr>
        <w:pStyle w:val="Compact"/>
        <w:numPr>
          <w:ilvl w:val="0"/>
          <w:numId w:val="1004"/>
        </w:numPr>
      </w:pPr>
      <w:r>
        <w:t xml:space="preserve">Pasarelas de pago.</w:t>
      </w:r>
    </w:p>
    <w:p>
      <w:pPr>
        <w:pStyle w:val="Compact"/>
        <w:numPr>
          <w:ilvl w:val="0"/>
          <w:numId w:val="1004"/>
        </w:numPr>
      </w:pPr>
      <w:r>
        <w:t xml:space="preserve">Integraciones de terceros.</w:t>
      </w:r>
    </w:p>
    <w:p>
      <w:r>
        <w:pict>
          <v:rect style="width:0;height:1.5pt" o:hralign="center" o:hrstd="t" o:hr="t"/>
        </w:pict>
      </w:r>
    </w:p>
    <w:bookmarkEnd w:id="28"/>
    <w:bookmarkStart w:id="29" w:name="callable"/>
    <w:p>
      <w:pPr>
        <w:pStyle w:val="Heading2"/>
      </w:pPr>
      <w:r>
        <w:t xml:space="preserve">Callable</w:t>
      </w:r>
    </w:p>
    <w:p>
      <w:pPr>
        <w:pStyle w:val="FirstParagraph"/>
      </w:pPr>
      <w:r>
        <w:t xml:space="preserve">Consumidas directamente por las aplicaciones cliente.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Confirmar reserva.</w:t>
      </w:r>
    </w:p>
    <w:p>
      <w:pPr>
        <w:pStyle w:val="Compact"/>
        <w:numPr>
          <w:ilvl w:val="0"/>
          <w:numId w:val="1005"/>
        </w:numPr>
      </w:pPr>
      <w:r>
        <w:t xml:space="preserve">Aplicar cupón.</w:t>
      </w:r>
    </w:p>
    <w:p>
      <w:pPr>
        <w:pStyle w:val="Compact"/>
        <w:numPr>
          <w:ilvl w:val="0"/>
          <w:numId w:val="1005"/>
        </w:numPr>
      </w:pPr>
      <w:r>
        <w:t xml:space="preserve">Generar reporte.</w:t>
      </w:r>
    </w:p>
    <w:p>
      <w:r>
        <w:pict>
          <v:rect style="width:0;height:1.5pt" o:hralign="center" o:hrstd="t" o:hr="t"/>
        </w:pict>
      </w:r>
    </w:p>
    <w:bookmarkEnd w:id="29"/>
    <w:bookmarkStart w:id="30" w:name="firestore-triggers"/>
    <w:p>
      <w:pPr>
        <w:pStyle w:val="Heading2"/>
      </w:pPr>
      <w:r>
        <w:t xml:space="preserve">Firestore Triggers</w:t>
      </w:r>
    </w:p>
    <w:p>
      <w:pPr>
        <w:pStyle w:val="FirstParagraph"/>
      </w:pPr>
      <w:r>
        <w:t xml:space="preserve">Reaccionan a cambios en la base de datos.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Actualizar inventario.</w:t>
      </w:r>
    </w:p>
    <w:p>
      <w:pPr>
        <w:pStyle w:val="Compact"/>
        <w:numPr>
          <w:ilvl w:val="0"/>
          <w:numId w:val="1006"/>
        </w:numPr>
      </w:pPr>
      <w:r>
        <w:t xml:space="preserve">Registrar auditoría.</w:t>
      </w:r>
    </w:p>
    <w:p>
      <w:pPr>
        <w:pStyle w:val="Compact"/>
        <w:numPr>
          <w:ilvl w:val="0"/>
          <w:numId w:val="1006"/>
        </w:numPr>
      </w:pPr>
      <w:r>
        <w:t xml:space="preserve">Enviar notificaciones.</w:t>
      </w:r>
    </w:p>
    <w:p>
      <w:r>
        <w:pict>
          <v:rect style="width:0;height:1.5pt" o:hralign="center" o:hrstd="t" o:hr="t"/>
        </w:pict>
      </w:r>
    </w:p>
    <w:bookmarkEnd w:id="30"/>
    <w:bookmarkStart w:id="31" w:name="authentication-triggers"/>
    <w:p>
      <w:pPr>
        <w:pStyle w:val="Heading2"/>
      </w:pPr>
      <w:r>
        <w:t xml:space="preserve">Authentication Triggers</w:t>
      </w:r>
    </w:p>
    <w:p>
      <w:pPr>
        <w:pStyle w:val="FirstParagraph"/>
      </w:pPr>
      <w:r>
        <w:t xml:space="preserve">Gestionan eventos relacionados con la identidad.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Creación de usuario.</w:t>
      </w:r>
    </w:p>
    <w:p>
      <w:pPr>
        <w:pStyle w:val="Compact"/>
        <w:numPr>
          <w:ilvl w:val="0"/>
          <w:numId w:val="1007"/>
        </w:numPr>
      </w:pPr>
      <w:r>
        <w:t xml:space="preserve">Eliminación de usuario.</w:t>
      </w:r>
    </w:p>
    <w:p>
      <w:r>
        <w:pict>
          <v:rect style="width:0;height:1.5pt" o:hralign="center" o:hrstd="t" o:hr="t"/>
        </w:pict>
      </w:r>
    </w:p>
    <w:bookmarkEnd w:id="31"/>
    <w:bookmarkStart w:id="32" w:name="storage-triggers"/>
    <w:p>
      <w:pPr>
        <w:pStyle w:val="Heading2"/>
      </w:pPr>
      <w:r>
        <w:t xml:space="preserve">Storage Triggers</w:t>
      </w:r>
    </w:p>
    <w:p>
      <w:pPr>
        <w:pStyle w:val="FirstParagraph"/>
      </w:pPr>
      <w:r>
        <w:t xml:space="preserve">Procesan eventos sobre archivos.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Optimización de imágenes.</w:t>
      </w:r>
    </w:p>
    <w:p>
      <w:pPr>
        <w:pStyle w:val="Compact"/>
        <w:numPr>
          <w:ilvl w:val="0"/>
          <w:numId w:val="1008"/>
        </w:numPr>
      </w:pPr>
      <w:r>
        <w:t xml:space="preserve">Eliminación de recursos asociados.</w:t>
      </w:r>
    </w:p>
    <w:p>
      <w:pPr>
        <w:pStyle w:val="Compact"/>
        <w:numPr>
          <w:ilvl w:val="0"/>
          <w:numId w:val="1008"/>
        </w:numPr>
      </w:pPr>
      <w:r>
        <w:t xml:space="preserve">Generación de miniaturas.</w:t>
      </w:r>
    </w:p>
    <w:p>
      <w:r>
        <w:pict>
          <v:rect style="width:0;height:1.5pt" o:hralign="center" o:hrstd="t" o:hr="t"/>
        </w:pict>
      </w:r>
    </w:p>
    <w:bookmarkEnd w:id="32"/>
    <w:bookmarkStart w:id="33" w:name="scheduled-functions"/>
    <w:p>
      <w:pPr>
        <w:pStyle w:val="Heading2"/>
      </w:pPr>
      <w:r>
        <w:t xml:space="preserve">Scheduled Functions</w:t>
      </w:r>
    </w:p>
    <w:p>
      <w:pPr>
        <w:pStyle w:val="FirstParagraph"/>
      </w:pPr>
      <w:r>
        <w:t xml:space="preserve">Ejecutan tareas programadas.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Recordatorios de citas.</w:t>
      </w:r>
    </w:p>
    <w:p>
      <w:pPr>
        <w:pStyle w:val="Compact"/>
        <w:numPr>
          <w:ilvl w:val="0"/>
          <w:numId w:val="1009"/>
        </w:numPr>
      </w:pPr>
      <w:r>
        <w:t xml:space="preserve">Limpieza de datos temporales.</w:t>
      </w:r>
    </w:p>
    <w:p>
      <w:pPr>
        <w:pStyle w:val="Compact"/>
        <w:numPr>
          <w:ilvl w:val="0"/>
          <w:numId w:val="1009"/>
        </w:numPr>
      </w:pPr>
      <w:r>
        <w:t xml:space="preserve">Sincronización de métricas.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asos-de-uso"/>
    <w:p>
      <w:pPr>
        <w:pStyle w:val="Heading1"/>
      </w:pPr>
      <w:r>
        <w:t xml:space="preserve">Casos de Uso</w:t>
      </w:r>
    </w:p>
    <w:p>
      <w:pPr>
        <w:pStyle w:val="FirstParagraph"/>
      </w:pPr>
      <w:r>
        <w:t xml:space="preserve">Cada Cloud Function invocará un único caso de uso.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rPr>
          <w:rStyle w:val="VerbatimChar"/>
        </w:rPr>
        <w:t xml:space="preserve">text id="usecase-flow" Callable Function         │         ▼ ConfirmAppointmentUseCase         │         ▼ AppointmentRepository</w:t>
      </w:r>
    </w:p>
    <w:p>
      <w:pPr>
        <w:pStyle w:val="BodyText"/>
      </w:pPr>
      <w:r>
        <w:t xml:space="preserve">La lógica del negocio nunca residirá en el punto de entrada de la función.</w:t>
      </w:r>
    </w:p>
    <w:p>
      <w:r>
        <w:pict>
          <v:rect style="width:0;height:1.5pt" o:hralign="center" o:hrstd="t" o:hr="t"/>
        </w:pict>
      </w:r>
    </w:p>
    <w:bookmarkEnd w:id="35"/>
    <w:bookmarkStart w:id="36" w:name="validaciones"/>
    <w:p>
      <w:pPr>
        <w:pStyle w:val="Heading1"/>
      </w:pPr>
      <w:r>
        <w:t xml:space="preserve">Validaciones</w:t>
      </w:r>
    </w:p>
    <w:p>
      <w:pPr>
        <w:pStyle w:val="FirstParagraph"/>
      </w:pPr>
      <w:r>
        <w:t xml:space="preserve">Las validaciones deberán realizarse antes de ejecutar el caso de uso.</w:t>
      </w:r>
    </w:p>
    <w:p>
      <w:pPr>
        <w:pStyle w:val="BodyText"/>
      </w:pPr>
      <w:r>
        <w:t xml:space="preserve">Se validará:</w:t>
      </w:r>
    </w:p>
    <w:p>
      <w:pPr>
        <w:pStyle w:val="Compact"/>
        <w:numPr>
          <w:ilvl w:val="0"/>
          <w:numId w:val="1010"/>
        </w:numPr>
      </w:pPr>
      <w:r>
        <w:t xml:space="preserve">Autenticación.</w:t>
      </w:r>
    </w:p>
    <w:p>
      <w:pPr>
        <w:pStyle w:val="Compact"/>
        <w:numPr>
          <w:ilvl w:val="0"/>
          <w:numId w:val="1010"/>
        </w:numPr>
      </w:pPr>
      <w:r>
        <w:t xml:space="preserve">Autorización.</w:t>
      </w:r>
    </w:p>
    <w:p>
      <w:pPr>
        <w:pStyle w:val="Compact"/>
        <w:numPr>
          <w:ilvl w:val="0"/>
          <w:numId w:val="1010"/>
        </w:numPr>
      </w:pPr>
      <w:r>
        <w:t xml:space="preserve">Organización.</w:t>
      </w:r>
    </w:p>
    <w:p>
      <w:pPr>
        <w:pStyle w:val="Compact"/>
        <w:numPr>
          <w:ilvl w:val="0"/>
          <w:numId w:val="1010"/>
        </w:numPr>
      </w:pPr>
      <w:r>
        <w:t xml:space="preserve">Integridad de datos.</w:t>
      </w:r>
    </w:p>
    <w:p>
      <w:pPr>
        <w:pStyle w:val="Compact"/>
        <w:numPr>
          <w:ilvl w:val="0"/>
          <w:numId w:val="1010"/>
        </w:numPr>
      </w:pPr>
      <w:r>
        <w:t xml:space="preserve">Reglas de negocio.</w:t>
      </w:r>
    </w:p>
    <w:p>
      <w:r>
        <w:pict>
          <v:rect style="width:0;height:1.5pt" o:hralign="center" o:hrstd="t" o:hr="t"/>
        </w:pict>
      </w:r>
    </w:p>
    <w:bookmarkEnd w:id="36"/>
    <w:bookmarkStart w:id="37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Toda integración externa se realizará mediante adaptadores.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OpenAI.</w:t>
      </w:r>
    </w:p>
    <w:p>
      <w:pPr>
        <w:pStyle w:val="Compact"/>
        <w:numPr>
          <w:ilvl w:val="0"/>
          <w:numId w:val="1011"/>
        </w:numPr>
      </w:pPr>
      <w:r>
        <w:t xml:space="preserve">Google Gemini.</w:t>
      </w:r>
    </w:p>
    <w:p>
      <w:pPr>
        <w:pStyle w:val="Compact"/>
        <w:numPr>
          <w:ilvl w:val="0"/>
          <w:numId w:val="1011"/>
        </w:numPr>
      </w:pPr>
      <w:r>
        <w:t xml:space="preserve">Pasarelas de pago.</w:t>
      </w:r>
    </w:p>
    <w:p>
      <w:pPr>
        <w:pStyle w:val="Compact"/>
        <w:numPr>
          <w:ilvl w:val="0"/>
          <w:numId w:val="1011"/>
        </w:numPr>
      </w:pPr>
      <w:r>
        <w:t xml:space="preserve">Proveedores de correo.</w:t>
      </w:r>
    </w:p>
    <w:p>
      <w:pPr>
        <w:pStyle w:val="Compact"/>
        <w:numPr>
          <w:ilvl w:val="0"/>
          <w:numId w:val="1011"/>
        </w:numPr>
      </w:pPr>
      <w:r>
        <w:t xml:space="preserve">Servicios de mensajería.</w:t>
      </w:r>
    </w:p>
    <w:p>
      <w:pPr>
        <w:pStyle w:val="FirstParagraph"/>
      </w:pPr>
      <w:r>
        <w:t xml:space="preserve">Esto facilita el reemplazo de proveedores.</w:t>
      </w:r>
    </w:p>
    <w:p>
      <w:r>
        <w:pict>
          <v:rect style="width:0;height:1.5pt" o:hralign="center" o:hrstd="t" o:hr="t"/>
        </w:pict>
      </w:r>
    </w:p>
    <w:bookmarkEnd w:id="37"/>
    <w:bookmarkStart w:id="38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Todas las funciones deberán integrarse con:</w:t>
      </w:r>
    </w:p>
    <w:p>
      <w:pPr>
        <w:pStyle w:val="Compact"/>
        <w:numPr>
          <w:ilvl w:val="0"/>
          <w:numId w:val="1012"/>
        </w:numPr>
      </w:pPr>
      <w:r>
        <w:t xml:space="preserve">Logger.</w:t>
      </w:r>
    </w:p>
    <w:p>
      <w:pPr>
        <w:pStyle w:val="Compact"/>
        <w:numPr>
          <w:ilvl w:val="0"/>
          <w:numId w:val="1012"/>
        </w:numPr>
      </w:pPr>
      <w:r>
        <w:t xml:space="preserve">Correlation ID.</w:t>
      </w:r>
    </w:p>
    <w:p>
      <w:pPr>
        <w:pStyle w:val="Compact"/>
        <w:numPr>
          <w:ilvl w:val="0"/>
          <w:numId w:val="1012"/>
        </w:numPr>
      </w:pPr>
      <w:r>
        <w:t xml:space="preserve">Métricas.</w:t>
      </w:r>
    </w:p>
    <w:p>
      <w:pPr>
        <w:pStyle w:val="Compact"/>
        <w:numPr>
          <w:ilvl w:val="0"/>
          <w:numId w:val="1012"/>
        </w:numPr>
      </w:pPr>
      <w:r>
        <w:t xml:space="preserve">Auditoría.</w:t>
      </w:r>
    </w:p>
    <w:p>
      <w:pPr>
        <w:pStyle w:val="FirstParagraph"/>
      </w:pPr>
      <w:r>
        <w:t xml:space="preserve">El comportamiento será consistente con</w:t>
      </w:r>
      <w:r>
        <w:t xml:space="preserve"> </w:t>
      </w:r>
      <w:r>
        <w:rPr>
          <w:rStyle w:val="VerbatimChar"/>
        </w:rPr>
        <w:t xml:space="preserve">CORE003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Las funciones deberán:</w:t>
      </w:r>
    </w:p>
    <w:p>
      <w:pPr>
        <w:pStyle w:val="Compact"/>
        <w:numPr>
          <w:ilvl w:val="0"/>
          <w:numId w:val="1013"/>
        </w:numPr>
      </w:pPr>
      <w:r>
        <w:t xml:space="preserve">Verificar identidad.</w:t>
      </w:r>
    </w:p>
    <w:p>
      <w:pPr>
        <w:pStyle w:val="Compact"/>
        <w:numPr>
          <w:ilvl w:val="0"/>
          <w:numId w:val="1013"/>
        </w:numPr>
      </w:pPr>
      <w:r>
        <w:t xml:space="preserve">Consultar permisos.</w:t>
      </w:r>
    </w:p>
    <w:p>
      <w:pPr>
        <w:pStyle w:val="Compact"/>
        <w:numPr>
          <w:ilvl w:val="0"/>
          <w:numId w:val="1013"/>
        </w:numPr>
      </w:pPr>
      <w:r>
        <w:t xml:space="preserve">Aplicar políticas.</w:t>
      </w:r>
    </w:p>
    <w:p>
      <w:pPr>
        <w:pStyle w:val="Compact"/>
        <w:numPr>
          <w:ilvl w:val="0"/>
          <w:numId w:val="1013"/>
        </w:numPr>
      </w:pPr>
      <w:r>
        <w:t xml:space="preserve">Registrar operaciones críticas.</w:t>
      </w:r>
    </w:p>
    <w:p>
      <w:pPr>
        <w:pStyle w:val="Compact"/>
        <w:numPr>
          <w:ilvl w:val="0"/>
          <w:numId w:val="1013"/>
        </w:numPr>
      </w:pPr>
      <w:r>
        <w:t xml:space="preserve">Evitar exponer detalles internos.</w:t>
      </w:r>
    </w:p>
    <w:p>
      <w:pPr>
        <w:pStyle w:val="FirstParagraph"/>
      </w:pPr>
      <w:r>
        <w:t xml:space="preserve">La lógica sensible nunca deberá ejecutarse exclusivamente en el cliente.</w:t>
      </w:r>
    </w:p>
    <w:p>
      <w:r>
        <w:pict>
          <v:rect style="width:0;height:1.5pt" o:hralign="center" o:hrstd="t" o:hr="t"/>
        </w:pict>
      </w:r>
    </w:p>
    <w:bookmarkEnd w:id="39"/>
    <w:bookmarkStart w:id="40" w:name="despliegue"/>
    <w:p>
      <w:pPr>
        <w:pStyle w:val="Heading1"/>
      </w:pPr>
      <w:r>
        <w:t xml:space="preserve">Despliegue</w:t>
      </w:r>
    </w:p>
    <w:p>
      <w:pPr>
        <w:pStyle w:val="FirstParagraph"/>
      </w:pPr>
      <w:r>
        <w:t xml:space="preserve">Las funciones se desplegarán por módulos cuando sea posible.</w:t>
      </w:r>
    </w:p>
    <w:p>
      <w:pPr>
        <w:pStyle w:val="BodyText"/>
      </w:pPr>
      <w:r>
        <w:t xml:space="preserve">Cada despliegue deberá:</w:t>
      </w:r>
    </w:p>
    <w:p>
      <w:pPr>
        <w:pStyle w:val="Compact"/>
        <w:numPr>
          <w:ilvl w:val="0"/>
          <w:numId w:val="1014"/>
        </w:numPr>
      </w:pPr>
      <w:r>
        <w:t xml:space="preserve">Mantener compatibilidad.</w:t>
      </w:r>
    </w:p>
    <w:p>
      <w:pPr>
        <w:pStyle w:val="Compact"/>
        <w:numPr>
          <w:ilvl w:val="0"/>
          <w:numId w:val="1014"/>
        </w:numPr>
      </w:pPr>
      <w:r>
        <w:t xml:space="preserve">Evitar interrupciones.</w:t>
      </w:r>
    </w:p>
    <w:p>
      <w:pPr>
        <w:pStyle w:val="Compact"/>
        <w:numPr>
          <w:ilvl w:val="0"/>
          <w:numId w:val="1014"/>
        </w:numPr>
      </w:pPr>
      <w:r>
        <w:t xml:space="preserve">Registrar cambios relevantes.</w:t>
      </w:r>
    </w:p>
    <w:p>
      <w:r>
        <w:pict>
          <v:rect style="width:0;height:1.5pt" o:hralign="center" o:hrstd="t" o:hr="t"/>
        </w:pict>
      </w:r>
    </w:p>
    <w:bookmarkEnd w:id="40"/>
    <w:bookmarkStart w:id="44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Cada función deberá disponer de:</w:t>
      </w:r>
    </w:p>
    <w:bookmarkStart w:id="41" w:name="unitarias"/>
    <w:p>
      <w:pPr>
        <w:pStyle w:val="Heading2"/>
      </w:pPr>
      <w:r>
        <w:t xml:space="preserve">Unitarias</w:t>
      </w:r>
    </w:p>
    <w:p>
      <w:pPr>
        <w:pStyle w:val="Compact"/>
        <w:numPr>
          <w:ilvl w:val="0"/>
          <w:numId w:val="1015"/>
        </w:numPr>
      </w:pPr>
      <w:r>
        <w:t xml:space="preserve">Casos de uso.</w:t>
      </w:r>
    </w:p>
    <w:p>
      <w:pPr>
        <w:pStyle w:val="Compact"/>
        <w:numPr>
          <w:ilvl w:val="0"/>
          <w:numId w:val="1015"/>
        </w:numPr>
      </w:pPr>
      <w:r>
        <w:t xml:space="preserve">Validaciones.</w:t>
      </w:r>
    </w:p>
    <w:p>
      <w:pPr>
        <w:pStyle w:val="Compact"/>
        <w:numPr>
          <w:ilvl w:val="0"/>
          <w:numId w:val="1015"/>
        </w:numPr>
      </w:pPr>
      <w:r>
        <w:t xml:space="preserve">Adaptadores.</w:t>
      </w:r>
    </w:p>
    <w:bookmarkEnd w:id="41"/>
    <w:bookmarkStart w:id="42" w:name="integración"/>
    <w:p>
      <w:pPr>
        <w:pStyle w:val="Heading2"/>
      </w:pPr>
      <w:r>
        <w:t xml:space="preserve">Integración</w:t>
      </w:r>
    </w:p>
    <w:p>
      <w:pPr>
        <w:pStyle w:val="Compact"/>
        <w:numPr>
          <w:ilvl w:val="0"/>
          <w:numId w:val="1016"/>
        </w:numPr>
      </w:pPr>
      <w:r>
        <w:t xml:space="preserve">Firestore Emulator.</w:t>
      </w:r>
    </w:p>
    <w:p>
      <w:pPr>
        <w:pStyle w:val="Compact"/>
        <w:numPr>
          <w:ilvl w:val="0"/>
          <w:numId w:val="1016"/>
        </w:numPr>
      </w:pPr>
      <w:r>
        <w:t xml:space="preserve">Authentication Emulator.</w:t>
      </w:r>
    </w:p>
    <w:p>
      <w:pPr>
        <w:pStyle w:val="Compact"/>
        <w:numPr>
          <w:ilvl w:val="0"/>
          <w:numId w:val="1016"/>
        </w:numPr>
      </w:pPr>
      <w:r>
        <w:t xml:space="preserve">Storage Emulator.</w:t>
      </w:r>
    </w:p>
    <w:bookmarkEnd w:id="42"/>
    <w:bookmarkStart w:id="43" w:name="end-to-end"/>
    <w:p>
      <w:pPr>
        <w:pStyle w:val="Heading2"/>
      </w:pPr>
      <w:r>
        <w:t xml:space="preserve">End-to-End</w:t>
      </w:r>
    </w:p>
    <w:p>
      <w:pPr>
        <w:pStyle w:val="Compact"/>
        <w:numPr>
          <w:ilvl w:val="0"/>
          <w:numId w:val="1017"/>
        </w:numPr>
      </w:pPr>
      <w:r>
        <w:t xml:space="preserve">Flujos completos.</w:t>
      </w:r>
    </w:p>
    <w:p>
      <w:pPr>
        <w:pStyle w:val="Compact"/>
        <w:numPr>
          <w:ilvl w:val="0"/>
          <w:numId w:val="1017"/>
        </w:numPr>
      </w:pPr>
      <w:r>
        <w:t xml:space="preserve">Integraciones externas simuladas.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8"/>
        </w:numPr>
      </w:pPr>
      <w:r>
        <w:t xml:space="preserve">Concentrar demasiada lógica en un único punto de entrada.</w:t>
      </w:r>
    </w:p>
    <w:p>
      <w:pPr>
        <w:pStyle w:val="Compact"/>
        <w:numPr>
          <w:ilvl w:val="0"/>
          <w:numId w:val="1018"/>
        </w:numPr>
      </w:pPr>
      <w:r>
        <w:t xml:space="preserve">Duplicar validaciones.</w:t>
      </w:r>
    </w:p>
    <w:p>
      <w:pPr>
        <w:pStyle w:val="Compact"/>
        <w:numPr>
          <w:ilvl w:val="0"/>
          <w:numId w:val="1018"/>
        </w:numPr>
      </w:pPr>
      <w:r>
        <w:t xml:space="preserve">Crear funciones demasiado grandes.</w:t>
      </w:r>
    </w:p>
    <w:p>
      <w:pPr>
        <w:pStyle w:val="Compact"/>
        <w:numPr>
          <w:ilvl w:val="0"/>
          <w:numId w:val="1018"/>
        </w:numPr>
      </w:pPr>
      <w:r>
        <w:t xml:space="preserve">Acoplar funciones a Firestore o a proveedores externos.</w:t>
      </w:r>
    </w:p>
    <w:p>
      <w:pPr>
        <w:pStyle w:val="FirstParagraph"/>
      </w:pPr>
      <w:r>
        <w:t xml:space="preserve">La revisión arquitectónica verificará estos riesgos antes de aprobar nuevas funciones.</w:t>
      </w:r>
    </w:p>
    <w:p>
      <w:r>
        <w:pict>
          <v:rect style="width:0;height:1.5pt" o:hralign="center" o:hrstd="t" o:hr="t"/>
        </w:pict>
      </w:r>
    </w:p>
    <w:bookmarkEnd w:id="45"/>
    <w:bookmarkStart w:id="46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Arquitectura definida.</w:t>
      </w:r>
    </w:p>
    <w:p>
      <w:pPr>
        <w:pStyle w:val="Compact"/>
        <w:numPr>
          <w:ilvl w:val="0"/>
          <w:numId w:val="1019"/>
        </w:numPr>
      </w:pPr>
      <w:r>
        <w:t xml:space="preserve">Organización aprobada.</w:t>
      </w:r>
    </w:p>
    <w:p>
      <w:pPr>
        <w:pStyle w:val="Compact"/>
        <w:numPr>
          <w:ilvl w:val="0"/>
          <w:numId w:val="1019"/>
        </w:numPr>
      </w:pPr>
      <w:r>
        <w:t xml:space="preserve">Tipos de funciones documentados.</w:t>
      </w:r>
    </w:p>
    <w:p>
      <w:pPr>
        <w:pStyle w:val="Compact"/>
        <w:numPr>
          <w:ilvl w:val="0"/>
          <w:numId w:val="1019"/>
        </w:numPr>
      </w:pPr>
      <w:r>
        <w:t xml:space="preserve">Casos de uso separados.</w:t>
      </w:r>
    </w:p>
    <w:p>
      <w:pPr>
        <w:pStyle w:val="Compact"/>
        <w:numPr>
          <w:ilvl w:val="0"/>
          <w:numId w:val="1019"/>
        </w:numPr>
      </w:pPr>
      <w:r>
        <w:t xml:space="preserve">Validaciones establecidas.</w:t>
      </w:r>
    </w:p>
    <w:p>
      <w:pPr>
        <w:pStyle w:val="Compact"/>
        <w:numPr>
          <w:ilvl w:val="0"/>
          <w:numId w:val="1019"/>
        </w:numPr>
      </w:pPr>
      <w:r>
        <w:t xml:space="preserve">Integraciones desacopladas.</w:t>
      </w:r>
    </w:p>
    <w:p>
      <w:pPr>
        <w:pStyle w:val="Compact"/>
        <w:numPr>
          <w:ilvl w:val="0"/>
          <w:numId w:val="1019"/>
        </w:numPr>
      </w:pPr>
      <w:r>
        <w:t xml:space="preserve">Estrategia de observabilidad definida.</w:t>
      </w:r>
    </w:p>
    <w:p>
      <w:pPr>
        <w:pStyle w:val="Compact"/>
        <w:numPr>
          <w:ilvl w:val="0"/>
          <w:numId w:val="1019"/>
        </w:numPr>
      </w:pPr>
      <w:r>
        <w:t xml:space="preserve">Estrategia de pruebas aprobada.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0"/>
        </w:numPr>
      </w:pPr>
      <w:r>
        <w:t xml:space="preserve">FB001_FIREBASE_SDK_ARCHITECTURE.md</w:t>
      </w:r>
    </w:p>
    <w:p>
      <w:pPr>
        <w:pStyle w:val="Compact"/>
        <w:numPr>
          <w:ilvl w:val="0"/>
          <w:numId w:val="1020"/>
        </w:numPr>
      </w:pPr>
      <w:r>
        <w:t xml:space="preserve">FB002_FIRESTORE_REPOSITORY_PATTERN.md</w:t>
      </w:r>
    </w:p>
    <w:p>
      <w:pPr>
        <w:pStyle w:val="Compact"/>
        <w:numPr>
          <w:ilvl w:val="0"/>
          <w:numId w:val="1020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20"/>
        </w:numPr>
      </w:pPr>
      <w:r>
        <w:t xml:space="preserve">CORE003_LOGGING_AND_OBSERVABILITY_ARCHITECTURE.md</w:t>
      </w:r>
    </w:p>
    <w:p>
      <w:pPr>
        <w:pStyle w:val="Compact"/>
        <w:numPr>
          <w:ilvl w:val="0"/>
          <w:numId w:val="1020"/>
        </w:numPr>
      </w:pPr>
      <w:r>
        <w:t xml:space="preserve">SEC001_SECURITY_ARCHITECTURE.md</w:t>
      </w:r>
    </w:p>
    <w:p>
      <w:r>
        <w:pict>
          <v:rect style="width:0;height:1.5pt" o:hralign="center" o:hrstd="t" o:hr="t"/>
        </w:pict>
      </w:r>
    </w:p>
    <w:bookmarkEnd w:id="47"/>
    <w:bookmarkStart w:id="48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backend basado en Firebase Cloud Functions.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2026-06-30T17:01:48Z</dcterms:created>
  <dcterms:modified xsi:type="dcterms:W3CDTF">2026-06-30T17:01:48Z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