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fb001-firebase-sdk-architecture"/>
    <w:p>
      <w:pPr>
        <w:pStyle w:val="Heading1"/>
      </w:pPr>
      <w:r>
        <w:t xml:space="preserve">FB001 — FIREBASE SDK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oficial de integración con Firebase.</w:t>
      </w:r>
    </w:p>
    <w:p>
      <w:pPr>
        <w:pStyle w:val="BodyText"/>
      </w:pPr>
      <w:r>
        <w:t xml:space="preserve">Firebase será tratado como un proveedor de infraestructura y no como una dependencia directa de los módulos de negocio.</w:t>
      </w:r>
    </w:p>
    <w:p>
      <w:pPr>
        <w:pStyle w:val="BodyText"/>
      </w:pPr>
      <w:r>
        <w:t xml:space="preserve">Toda interacción con Firebase deberá realizarse mediante adaptadores y contratos definidos por la plataforma.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Aplica a:</w:t>
      </w:r>
    </w:p>
    <w:p>
      <w:pPr>
        <w:pStyle w:val="Compact"/>
        <w:numPr>
          <w:ilvl w:val="0"/>
          <w:numId w:val="1001"/>
        </w:numPr>
      </w:pPr>
      <w:r>
        <w:t xml:space="preserve">Authentication.</w:t>
      </w:r>
    </w:p>
    <w:p>
      <w:pPr>
        <w:pStyle w:val="Compact"/>
        <w:numPr>
          <w:ilvl w:val="0"/>
          <w:numId w:val="1001"/>
        </w:numPr>
      </w:pPr>
      <w:r>
        <w:t xml:space="preserve">Firestore.</w:t>
      </w:r>
    </w:p>
    <w:p>
      <w:pPr>
        <w:pStyle w:val="Compact"/>
        <w:numPr>
          <w:ilvl w:val="0"/>
          <w:numId w:val="1001"/>
        </w:numPr>
      </w:pPr>
      <w:r>
        <w:t xml:space="preserve">Cloud Storage.</w:t>
      </w:r>
    </w:p>
    <w:p>
      <w:pPr>
        <w:pStyle w:val="Compact"/>
        <w:numPr>
          <w:ilvl w:val="0"/>
          <w:numId w:val="1001"/>
        </w:numPr>
      </w:pPr>
      <w:r>
        <w:t xml:space="preserve">Cloud Functions.</w:t>
      </w:r>
    </w:p>
    <w:p>
      <w:pPr>
        <w:pStyle w:val="Compact"/>
        <w:numPr>
          <w:ilvl w:val="0"/>
          <w:numId w:val="1001"/>
        </w:numPr>
      </w:pPr>
      <w:r>
        <w:t xml:space="preserve">Analytics.</w:t>
      </w:r>
    </w:p>
    <w:p>
      <w:pPr>
        <w:pStyle w:val="Compact"/>
        <w:numPr>
          <w:ilvl w:val="0"/>
          <w:numId w:val="1001"/>
        </w:numPr>
      </w:pPr>
      <w:r>
        <w:t xml:space="preserve">Messaging.</w:t>
      </w:r>
    </w:p>
    <w:p>
      <w:pPr>
        <w:pStyle w:val="Compact"/>
        <w:numPr>
          <w:ilvl w:val="0"/>
          <w:numId w:val="1001"/>
        </w:numPr>
      </w:pPr>
      <w:r>
        <w:t xml:space="preserve">Emuladores locales.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La integración deberá cumplir:</w:t>
      </w:r>
    </w:p>
    <w:p>
      <w:pPr>
        <w:pStyle w:val="Compact"/>
        <w:numPr>
          <w:ilvl w:val="0"/>
          <w:numId w:val="1002"/>
        </w:numPr>
      </w:pPr>
      <w:r>
        <w:t xml:space="preserve">Desacoplamiento.</w:t>
      </w:r>
    </w:p>
    <w:p>
      <w:pPr>
        <w:pStyle w:val="Compact"/>
        <w:numPr>
          <w:ilvl w:val="0"/>
          <w:numId w:val="1002"/>
        </w:numPr>
      </w:pPr>
      <w:r>
        <w:t xml:space="preserve">Inversión de dependencias.</w:t>
      </w:r>
    </w:p>
    <w:p>
      <w:pPr>
        <w:pStyle w:val="Compact"/>
        <w:numPr>
          <w:ilvl w:val="0"/>
          <w:numId w:val="1002"/>
        </w:numPr>
      </w:pPr>
      <w:r>
        <w:t xml:space="preserve">Reutilización.</w:t>
      </w:r>
    </w:p>
    <w:p>
      <w:pPr>
        <w:pStyle w:val="Compact"/>
        <w:numPr>
          <w:ilvl w:val="0"/>
          <w:numId w:val="1002"/>
        </w:numPr>
      </w:pPr>
      <w:r>
        <w:t xml:space="preserve">Tipado estricto.</w:t>
      </w:r>
    </w:p>
    <w:p>
      <w:pPr>
        <w:pStyle w:val="Compact"/>
        <w:numPr>
          <w:ilvl w:val="0"/>
          <w:numId w:val="1002"/>
        </w:numPr>
      </w:pPr>
      <w:r>
        <w:t xml:space="preserve">Sustitución de proveedores.</w:t>
      </w:r>
    </w:p>
    <w:p>
      <w:pPr>
        <w:pStyle w:val="Compact"/>
        <w:numPr>
          <w:ilvl w:val="0"/>
          <w:numId w:val="1002"/>
        </w:numPr>
      </w:pPr>
      <w:r>
        <w:t xml:space="preserve">Pruebas aisladas.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-general"/>
    <w:p>
      <w:pPr>
        <w:pStyle w:val="Heading1"/>
      </w:pPr>
      <w:r>
        <w:t xml:space="preserve">Arquitectura General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Repository Interface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Firebase Adapter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Firebase SDK</w:t>
      </w:r>
    </w:p>
    <w:p>
      <w:pPr>
        <w:pStyle w:val="FirstParagraph"/>
      </w:pPr>
      <w:r>
        <w:t xml:space="preserve">Los módulos de negocio nunca accederán directamente al SDK.</w:t>
      </w:r>
    </w:p>
    <w:p>
      <w:r>
        <w:pict>
          <v:rect style="width:0;height:1.5pt" o:hralign="center" o:hrstd="t" o:hr="t"/>
        </w:pict>
      </w:r>
    </w:p>
    <w:bookmarkEnd w:id="25"/>
    <w:bookmarkStart w:id="26" w:name="organización-del-paquete"/>
    <w:p>
      <w:pPr>
        <w:pStyle w:val="Heading1"/>
      </w:pPr>
      <w:r>
        <w:t xml:space="preserve">Organización del Paquete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└── firebase/</w:t>
      </w:r>
      <w:r>
        <w:br/>
      </w:r>
      <w:r>
        <w:rPr>
          <w:rStyle w:val="VerbatimChar"/>
        </w:rPr>
        <w:t xml:space="preserve">    ├── auth/</w:t>
      </w:r>
      <w:r>
        <w:br/>
      </w:r>
      <w:r>
        <w:rPr>
          <w:rStyle w:val="VerbatimChar"/>
        </w:rPr>
        <w:t xml:space="preserve">    ├── firestore/</w:t>
      </w:r>
      <w:r>
        <w:br/>
      </w:r>
      <w:r>
        <w:rPr>
          <w:rStyle w:val="VerbatimChar"/>
        </w:rPr>
        <w:t xml:space="preserve">    ├── storage/</w:t>
      </w:r>
      <w:r>
        <w:br/>
      </w:r>
      <w:r>
        <w:rPr>
          <w:rStyle w:val="VerbatimChar"/>
        </w:rPr>
        <w:t xml:space="preserve">    ├── functions/</w:t>
      </w:r>
      <w:r>
        <w:br/>
      </w:r>
      <w:r>
        <w:rPr>
          <w:rStyle w:val="VerbatimChar"/>
        </w:rPr>
        <w:t xml:space="preserve">    ├── analytics/</w:t>
      </w:r>
      <w:r>
        <w:br/>
      </w:r>
      <w:r>
        <w:rPr>
          <w:rStyle w:val="VerbatimChar"/>
        </w:rPr>
        <w:t xml:space="preserve">    ├── messaging/</w:t>
      </w:r>
      <w:r>
        <w:br/>
      </w:r>
      <w:r>
        <w:rPr>
          <w:rStyle w:val="VerbatimChar"/>
        </w:rPr>
        <w:t xml:space="preserve">    ├── emulator/</w:t>
      </w:r>
      <w:r>
        <w:br/>
      </w:r>
      <w:r>
        <w:rPr>
          <w:rStyle w:val="VerbatimChar"/>
        </w:rPr>
        <w:t xml:space="preserve">    ├── config/</w:t>
      </w:r>
      <w:r>
        <w:br/>
      </w:r>
      <w:r>
        <w:rPr>
          <w:rStyle w:val="VerbatimChar"/>
        </w:rPr>
        <w:t xml:space="preserve">    ├── adapters/</w:t>
      </w:r>
      <w:r>
        <w:br/>
      </w:r>
      <w:r>
        <w:rPr>
          <w:rStyle w:val="VerbatimChar"/>
        </w:rPr>
        <w:t xml:space="preserve">    ├── repositories/</w:t>
      </w:r>
      <w:r>
        <w:br/>
      </w:r>
      <w:r>
        <w:rPr>
          <w:rStyle w:val="VerbatimChar"/>
        </w:rPr>
        <w:t xml:space="preserve">    └── index.ts</w:t>
      </w:r>
    </w:p>
    <w:p>
      <w:pPr>
        <w:pStyle w:val="FirstParagraph"/>
      </w:pPr>
      <w:r>
        <w:t xml:space="preserve">Cada área encapsula un servicio concreto de Firebase.</w:t>
      </w:r>
    </w:p>
    <w:p>
      <w:r>
        <w:pict>
          <v:rect style="width:0;height:1.5pt" o:hralign="center" o:hrstd="t" o:hr="t"/>
        </w:pict>
      </w:r>
    </w:p>
    <w:bookmarkEnd w:id="26"/>
    <w:bookmarkStart w:id="27" w:name="adaptadores"/>
    <w:p>
      <w:pPr>
        <w:pStyle w:val="Heading1"/>
      </w:pPr>
      <w:r>
        <w:t xml:space="preserve">Adaptadores</w:t>
      </w:r>
    </w:p>
    <w:p>
      <w:pPr>
        <w:pStyle w:val="FirstParagraph"/>
      </w:pPr>
      <w:r>
        <w:t xml:space="preserve">Cada servicio dispondrá de un adaptador propio.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3"/>
        </w:numPr>
      </w:pPr>
      <w:r>
        <w:t xml:space="preserve">FirebaseAuthAdapter</w:t>
      </w:r>
    </w:p>
    <w:p>
      <w:pPr>
        <w:pStyle w:val="Compact"/>
        <w:numPr>
          <w:ilvl w:val="0"/>
          <w:numId w:val="1003"/>
        </w:numPr>
      </w:pPr>
      <w:r>
        <w:t xml:space="preserve">FirestoreAdapter</w:t>
      </w:r>
    </w:p>
    <w:p>
      <w:pPr>
        <w:pStyle w:val="Compact"/>
        <w:numPr>
          <w:ilvl w:val="0"/>
          <w:numId w:val="1003"/>
        </w:numPr>
      </w:pPr>
      <w:r>
        <w:t xml:space="preserve">StorageAdapter</w:t>
      </w:r>
    </w:p>
    <w:p>
      <w:pPr>
        <w:pStyle w:val="Compact"/>
        <w:numPr>
          <w:ilvl w:val="0"/>
          <w:numId w:val="1003"/>
        </w:numPr>
      </w:pPr>
      <w:r>
        <w:t xml:space="preserve">FunctionsAdapter</w:t>
      </w:r>
    </w:p>
    <w:p>
      <w:pPr>
        <w:pStyle w:val="FirstParagraph"/>
      </w:pPr>
      <w:r>
        <w:t xml:space="preserve">Los adaptadores implementarán interfaces definidas en el dominio correspondiente.</w:t>
      </w:r>
    </w:p>
    <w:p>
      <w:r>
        <w:pict>
          <v:rect style="width:0;height:1.5pt" o:hralign="center" o:hrstd="t" o:hr="t"/>
        </w:pict>
      </w:r>
    </w:p>
    <w:bookmarkEnd w:id="27"/>
    <w:bookmarkStart w:id="28" w:name="configuración"/>
    <w:p>
      <w:pPr>
        <w:pStyle w:val="Heading1"/>
      </w:pPr>
      <w:r>
        <w:t xml:space="preserve">Configuración</w:t>
      </w:r>
    </w:p>
    <w:p>
      <w:pPr>
        <w:pStyle w:val="FirstParagraph"/>
      </w:pPr>
      <w:r>
        <w:t xml:space="preserve">La inicialización del SDK será responsabilidad exclusiva del paquete</w:t>
      </w:r>
      <w:r>
        <w:t xml:space="preserve"> </w:t>
      </w:r>
      <w:r>
        <w:rPr>
          <w:rStyle w:val="VerbatimChar"/>
        </w:rPr>
        <w:t xml:space="preserve">firebase</w:t>
      </w:r>
      <w:r>
        <w:t xml:space="preserve">.</w:t>
      </w:r>
    </w:p>
    <w:p>
      <w:pPr>
        <w:pStyle w:val="BodyText"/>
      </w:pPr>
      <w:r>
        <w:t xml:space="preserve">Ningún otro paquete deberá inicializar Firebase ni acceder a sus credenciales.</w:t>
      </w:r>
    </w:p>
    <w:p>
      <w:r>
        <w:pict>
          <v:rect style="width:0;height:1.5pt" o:hralign="center" o:hrstd="t" o:hr="t"/>
        </w:pict>
      </w:r>
    </w:p>
    <w:bookmarkEnd w:id="28"/>
    <w:bookmarkStart w:id="29" w:name="repositorios"/>
    <w:p>
      <w:pPr>
        <w:pStyle w:val="Heading1"/>
      </w:pPr>
      <w:r>
        <w:t xml:space="preserve">Repositorios</w:t>
      </w:r>
    </w:p>
    <w:p>
      <w:pPr>
        <w:pStyle w:val="FirstParagraph"/>
      </w:pPr>
      <w:r>
        <w:t xml:space="preserve">Los repositorios de infraestructura traducirán las operaciones del dominio al SDK de Firebase.</w:t>
      </w:r>
    </w:p>
    <w:p>
      <w:pPr>
        <w:pStyle w:val="BodyText"/>
      </w:pPr>
      <w:r>
        <w:t xml:space="preserve">Esto permite:</w:t>
      </w:r>
    </w:p>
    <w:p>
      <w:pPr>
        <w:pStyle w:val="Compact"/>
        <w:numPr>
          <w:ilvl w:val="0"/>
          <w:numId w:val="1004"/>
        </w:numPr>
      </w:pPr>
      <w:r>
        <w:t xml:space="preserve">Cambiar la implementación.</w:t>
      </w:r>
    </w:p>
    <w:p>
      <w:pPr>
        <w:pStyle w:val="Compact"/>
        <w:numPr>
          <w:ilvl w:val="0"/>
          <w:numId w:val="1004"/>
        </w:numPr>
      </w:pPr>
      <w:r>
        <w:t xml:space="preserve">Facilitar pruebas.</w:t>
      </w:r>
    </w:p>
    <w:p>
      <w:pPr>
        <w:pStyle w:val="Compact"/>
        <w:numPr>
          <w:ilvl w:val="0"/>
          <w:numId w:val="1004"/>
        </w:numPr>
      </w:pPr>
      <w:r>
        <w:t xml:space="preserve">Centralizar optimizaciones.</w:t>
      </w:r>
    </w:p>
    <w:p>
      <w:r>
        <w:pict>
          <v:rect style="width:0;height:1.5pt" o:hralign="center" o:hrstd="t" o:hr="t"/>
        </w:pict>
      </w:r>
    </w:p>
    <w:bookmarkEnd w:id="29"/>
    <w:bookmarkStart w:id="30" w:name="emuladores"/>
    <w:p>
      <w:pPr>
        <w:pStyle w:val="Heading1"/>
      </w:pPr>
      <w:r>
        <w:t xml:space="preserve">Emuladores</w:t>
      </w:r>
    </w:p>
    <w:p>
      <w:pPr>
        <w:pStyle w:val="FirstParagraph"/>
      </w:pPr>
      <w:r>
        <w:t xml:space="preserve">El paquete deberá soportar la ejecución sobre Firebase Emulator Suite.</w:t>
      </w:r>
    </w:p>
    <w:p>
      <w:pPr>
        <w:pStyle w:val="BodyText"/>
      </w:pPr>
      <w:r>
        <w:t xml:space="preserve">Todos los servicios deberán poder alternar entre entorno local y producción mediante la configuración del Core.</w:t>
      </w:r>
    </w:p>
    <w:p>
      <w:r>
        <w:pict>
          <v:rect style="width:0;height:1.5pt" o:hralign="center" o:hrstd="t" o:hr="t"/>
        </w:pict>
      </w:r>
    </w:p>
    <w:bookmarkEnd w:id="30"/>
    <w:bookmarkStart w:id="31" w:name="manejo-de-errores"/>
    <w:p>
      <w:pPr>
        <w:pStyle w:val="Heading1"/>
      </w:pPr>
      <w:r>
        <w:t xml:space="preserve">Manejo de Errores</w:t>
      </w:r>
    </w:p>
    <w:p>
      <w:pPr>
        <w:pStyle w:val="FirstParagraph"/>
      </w:pPr>
      <w:r>
        <w:t xml:space="preserve">Los errores del SDK nunca llegarán directamente al dominio.</w:t>
      </w:r>
    </w:p>
    <w:p>
      <w:pPr>
        <w:pStyle w:val="BodyText"/>
      </w:pPr>
      <w:r>
        <w:t xml:space="preserve">Todo error deberá transformarse en los tipos definidos en</w:t>
      </w:r>
      <w:r>
        <w:t xml:space="preserve"> </w:t>
      </w:r>
      <w:r>
        <w:rPr>
          <w:rStyle w:val="VerbatimChar"/>
        </w:rPr>
        <w:t xml:space="preserve">CORE002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observabilidad"/>
    <w:p>
      <w:pPr>
        <w:pStyle w:val="Heading1"/>
      </w:pPr>
      <w:r>
        <w:t xml:space="preserve">Observabilidad</w:t>
      </w:r>
    </w:p>
    <w:p>
      <w:pPr>
        <w:pStyle w:val="FirstParagraph"/>
      </w:pPr>
      <w:r>
        <w:t xml:space="preserve">Las operaciones relevantes deberán integrarse con el sistema de logging y métricas definido en</w:t>
      </w:r>
      <w:r>
        <w:t xml:space="preserve"> </w:t>
      </w:r>
      <w:r>
        <w:rPr>
          <w:rStyle w:val="VerbatimChar"/>
        </w:rPr>
        <w:t xml:space="preserve">CORE003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Las validaciones de negocio no se delegarán al cliente.</w:t>
      </w:r>
    </w:p>
    <w:p>
      <w:pPr>
        <w:pStyle w:val="BodyText"/>
      </w:pPr>
      <w:r>
        <w:t xml:space="preserve">El SDK es un medio de acceso; la seguridad pertenece a los dominios Security y Cloud Functions.</w:t>
      </w:r>
    </w:p>
    <w:p>
      <w:r>
        <w:pict>
          <v:rect style="width:0;height:1.5pt" o:hralign="center" o:hrstd="t" o:hr="t"/>
        </w:pict>
      </w:r>
    </w:p>
    <w:bookmarkEnd w:id="33"/>
    <w:bookmarkStart w:id="34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05"/>
        </w:numPr>
      </w:pPr>
      <w:r>
        <w:t xml:space="preserve">Dependencia directa del SDK.</w:t>
      </w:r>
    </w:p>
    <w:p>
      <w:pPr>
        <w:pStyle w:val="Compact"/>
        <w:numPr>
          <w:ilvl w:val="0"/>
          <w:numId w:val="1005"/>
        </w:numPr>
      </w:pPr>
      <w:r>
        <w:t xml:space="preserve">Duplicación de inicialización.</w:t>
      </w:r>
    </w:p>
    <w:p>
      <w:pPr>
        <w:pStyle w:val="Compact"/>
        <w:numPr>
          <w:ilvl w:val="0"/>
          <w:numId w:val="1005"/>
        </w:numPr>
      </w:pPr>
      <w:r>
        <w:t xml:space="preserve">Exposición de configuraciones sensibles.</w:t>
      </w:r>
    </w:p>
    <w:p>
      <w:pPr>
        <w:pStyle w:val="Compact"/>
        <w:numPr>
          <w:ilvl w:val="0"/>
          <w:numId w:val="1005"/>
        </w:numPr>
      </w:pPr>
      <w:r>
        <w:t xml:space="preserve">Acoplamiento entre módulos y Firebase.</w:t>
      </w:r>
    </w:p>
    <w:p>
      <w:r>
        <w:pict>
          <v:rect style="width:0;height:1.5pt" o:hralign="center" o:hrstd="t" o:hr="t"/>
        </w:pict>
      </w:r>
    </w:p>
    <w:bookmarkEnd w:id="34"/>
    <w:bookmarkStart w:id="35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06"/>
        </w:numPr>
      </w:pPr>
      <w:r>
        <w:t xml:space="preserve">Adaptadores definidos.</w:t>
      </w:r>
    </w:p>
    <w:p>
      <w:pPr>
        <w:pStyle w:val="Compact"/>
        <w:numPr>
          <w:ilvl w:val="0"/>
          <w:numId w:val="1006"/>
        </w:numPr>
      </w:pPr>
      <w:r>
        <w:t xml:space="preserve">Inicialización centralizada.</w:t>
      </w:r>
    </w:p>
    <w:p>
      <w:pPr>
        <w:pStyle w:val="Compact"/>
        <w:numPr>
          <w:ilvl w:val="0"/>
          <w:numId w:val="1006"/>
        </w:numPr>
      </w:pPr>
      <w:r>
        <w:t xml:space="preserve">Repositorios desacoplados.</w:t>
      </w:r>
    </w:p>
    <w:p>
      <w:pPr>
        <w:pStyle w:val="Compact"/>
        <w:numPr>
          <w:ilvl w:val="0"/>
          <w:numId w:val="1006"/>
        </w:numPr>
      </w:pPr>
      <w:r>
        <w:t xml:space="preserve">Manejo de errores integrado.</w:t>
      </w:r>
    </w:p>
    <w:p>
      <w:pPr>
        <w:pStyle w:val="Compact"/>
        <w:numPr>
          <w:ilvl w:val="0"/>
          <w:numId w:val="1006"/>
        </w:numPr>
      </w:pPr>
      <w:r>
        <w:t xml:space="preserve">Compatibilidad con emuladores.</w:t>
      </w:r>
    </w:p>
    <w:p>
      <w:pPr>
        <w:pStyle w:val="Compact"/>
        <w:numPr>
          <w:ilvl w:val="0"/>
          <w:numId w:val="1006"/>
        </w:numPr>
      </w:pPr>
      <w:r>
        <w:t xml:space="preserve">Estrategia de configuración aprobada.</w:t>
      </w:r>
    </w:p>
    <w:p>
      <w:r>
        <w:pict>
          <v:rect style="width:0;height:1.5pt" o:hralign="center" o:hrstd="t" o:hr="t"/>
        </w:pict>
      </w:r>
    </w:p>
    <w:bookmarkEnd w:id="35"/>
    <w:bookmarkStart w:id="36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07"/>
        </w:numPr>
      </w:pPr>
      <w:r>
        <w:t xml:space="preserve">A001_SYSTEM_ARCHITECTURE.md</w:t>
      </w:r>
    </w:p>
    <w:p>
      <w:pPr>
        <w:pStyle w:val="Compact"/>
        <w:numPr>
          <w:ilvl w:val="0"/>
          <w:numId w:val="1007"/>
        </w:numPr>
      </w:pPr>
      <w:r>
        <w:t xml:space="preserve">CORE001_PLATFORM_FOUNDATION_ARCHITECTURE.md</w:t>
      </w:r>
    </w:p>
    <w:p>
      <w:pPr>
        <w:pStyle w:val="Compact"/>
        <w:numPr>
          <w:ilvl w:val="0"/>
          <w:numId w:val="1007"/>
        </w:numPr>
      </w:pPr>
      <w:r>
        <w:t xml:space="preserve">CORE004_CONFIGURATION_AND_ENVIRONMENT_ARCHITECTURE.md</w:t>
      </w:r>
    </w:p>
    <w:p>
      <w:pPr>
        <w:pStyle w:val="Compact"/>
        <w:numPr>
          <w:ilvl w:val="0"/>
          <w:numId w:val="1007"/>
        </w:numPr>
      </w:pPr>
      <w:r>
        <w:t xml:space="preserve">AUTH001_IDENTITY_DOMAIN_ARCHITECTURE.md</w:t>
      </w:r>
    </w:p>
    <w:p>
      <w:r>
        <w:pict>
          <v:rect style="width:0;height:1.5pt" o:hralign="center" o:hrstd="t" o:hr="t"/>
        </w:pict>
      </w:r>
    </w:p>
    <w:bookmarkEnd w:id="36"/>
    <w:bookmarkStart w:id="37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arquitectura oficial de integración con Firebase.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2026-06-30T16:58:39Z</dcterms:created>
  <dcterms:modified xsi:type="dcterms:W3CDTF">2026-06-30T16:58:39Z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