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db001-firestore-database-architecture"/>
    <w:p>
      <w:pPr>
        <w:pStyle w:val="Heading1"/>
      </w:pPr>
      <w:r>
        <w:t xml:space="preserve">DB001 — FIRESTORE DATABASE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 la base de datos Firestore para garantizar una plataforma escalable, segura y optimizada en costos.</w:t>
      </w:r>
    </w:p>
    <w:p>
      <w:pPr>
        <w:pStyle w:val="BodyText"/>
      </w:pPr>
      <w:r>
        <w:t xml:space="preserve">Este documento establece las reglas de modelado de datos, organización de colecciones, relaciones, auditoría y estrategias de crecimiento.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s-arquitectónicos"/>
    <w:p>
      <w:pPr>
        <w:pStyle w:val="Heading1"/>
      </w:pPr>
      <w:r>
        <w:t xml:space="preserve">Objetivos Arquitectónicos</w:t>
      </w:r>
    </w:p>
    <w:p>
      <w:pPr>
        <w:pStyle w:val="FirstParagraph"/>
      </w:pPr>
      <w:r>
        <w:t xml:space="preserve">La base de datos deberá ser:</w:t>
      </w:r>
    </w:p>
    <w:p>
      <w:pPr>
        <w:pStyle w:val="Compact"/>
        <w:numPr>
          <w:ilvl w:val="0"/>
          <w:numId w:val="1001"/>
        </w:numPr>
      </w:pPr>
      <w:r>
        <w:t xml:space="preserve">Escalable.</w:t>
      </w:r>
    </w:p>
    <w:p>
      <w:pPr>
        <w:pStyle w:val="Compact"/>
        <w:numPr>
          <w:ilvl w:val="0"/>
          <w:numId w:val="1001"/>
        </w:numPr>
      </w:pPr>
      <w:r>
        <w:t xml:space="preserve">Segura.</w:t>
      </w:r>
    </w:p>
    <w:p>
      <w:pPr>
        <w:pStyle w:val="Compact"/>
        <w:numPr>
          <w:ilvl w:val="0"/>
          <w:numId w:val="1001"/>
        </w:numPr>
      </w:pPr>
      <w:r>
        <w:t xml:space="preserve">Modular.</w:t>
      </w:r>
    </w:p>
    <w:p>
      <w:pPr>
        <w:pStyle w:val="Compact"/>
        <w:numPr>
          <w:ilvl w:val="0"/>
          <w:numId w:val="1001"/>
        </w:numPr>
      </w:pPr>
      <w:r>
        <w:t xml:space="preserve">Optimizada para lecturas.</w:t>
      </w:r>
    </w:p>
    <w:p>
      <w:pPr>
        <w:pStyle w:val="Compact"/>
        <w:numPr>
          <w:ilvl w:val="0"/>
          <w:numId w:val="1001"/>
        </w:numPr>
      </w:pPr>
      <w:r>
        <w:t xml:space="preserve">Optimizada para escrituras.</w:t>
      </w:r>
    </w:p>
    <w:p>
      <w:pPr>
        <w:pStyle w:val="Compact"/>
        <w:numPr>
          <w:ilvl w:val="0"/>
          <w:numId w:val="1001"/>
        </w:numPr>
      </w:pPr>
      <w:r>
        <w:t xml:space="preserve">Preparada para múltiples organizaciones (multi-tenant).</w:t>
      </w:r>
    </w:p>
    <w:p>
      <w:pPr>
        <w:pStyle w:val="Compact"/>
        <w:numPr>
          <w:ilvl w:val="0"/>
          <w:numId w:val="1001"/>
        </w:numPr>
      </w:pPr>
      <w:r>
        <w:t xml:space="preserve">Compatible con futuras aplicaciones web y móviles.</w:t>
      </w:r>
    </w:p>
    <w:p>
      <w:r>
        <w:pict>
          <v:rect style="width:0;height:1.5pt" o:hralign="center" o:hrstd="t" o:hr="t"/>
        </w:pict>
      </w:r>
    </w:p>
    <w:bookmarkEnd w:id="23"/>
    <w:bookmarkStart w:id="26" w:name="principios-de-diseño"/>
    <w:p>
      <w:pPr>
        <w:pStyle w:val="Heading1"/>
      </w:pPr>
      <w:r>
        <w:t xml:space="preserve">Principios de Diseño</w:t>
      </w:r>
    </w:p>
    <w:bookmarkStart w:id="24" w:name="organización-por-dominios"/>
    <w:p>
      <w:pPr>
        <w:pStyle w:val="Heading2"/>
      </w:pPr>
      <w:r>
        <w:t xml:space="preserve">Organización por Dominios</w:t>
      </w:r>
    </w:p>
    <w:p>
      <w:pPr>
        <w:pStyle w:val="FirstParagraph"/>
      </w:pPr>
      <w:r>
        <w:t xml:space="preserve">Los datos se agruparán por dominios funcionales y no por pantallas o funcionalidades del frontend.</w:t>
      </w:r>
    </w:p>
    <w:p>
      <w:pPr>
        <w:pStyle w:val="BodyText"/>
      </w:pPr>
      <w:r>
        <w:t xml:space="preserve">Dominios principales:</w:t>
      </w:r>
    </w:p>
    <w:p>
      <w:pPr>
        <w:pStyle w:val="Compact"/>
        <w:numPr>
          <w:ilvl w:val="0"/>
          <w:numId w:val="1002"/>
        </w:numPr>
      </w:pPr>
      <w:r>
        <w:t xml:space="preserve">Identity</w:t>
      </w:r>
    </w:p>
    <w:p>
      <w:pPr>
        <w:pStyle w:val="Compact"/>
        <w:numPr>
          <w:ilvl w:val="0"/>
          <w:numId w:val="1002"/>
        </w:numPr>
      </w:pPr>
      <w:r>
        <w:t xml:space="preserve">Customers</w:t>
      </w:r>
    </w:p>
    <w:p>
      <w:pPr>
        <w:pStyle w:val="Compact"/>
        <w:numPr>
          <w:ilvl w:val="0"/>
          <w:numId w:val="1002"/>
        </w:numPr>
      </w:pPr>
      <w:r>
        <w:t xml:space="preserve">Specialists</w:t>
      </w:r>
    </w:p>
    <w:p>
      <w:pPr>
        <w:pStyle w:val="Compact"/>
        <w:numPr>
          <w:ilvl w:val="0"/>
          <w:numId w:val="1002"/>
        </w:numPr>
      </w:pPr>
      <w:r>
        <w:t xml:space="preserve">Treatments</w:t>
      </w:r>
    </w:p>
    <w:p>
      <w:pPr>
        <w:pStyle w:val="Compact"/>
        <w:numPr>
          <w:ilvl w:val="0"/>
          <w:numId w:val="1002"/>
        </w:numPr>
      </w:pPr>
      <w:r>
        <w:t xml:space="preserve">Appointments</w:t>
      </w:r>
    </w:p>
    <w:p>
      <w:pPr>
        <w:pStyle w:val="Compact"/>
        <w:numPr>
          <w:ilvl w:val="0"/>
          <w:numId w:val="1002"/>
        </w:numPr>
      </w:pPr>
      <w:r>
        <w:t xml:space="preserve">Products</w:t>
      </w:r>
    </w:p>
    <w:p>
      <w:pPr>
        <w:pStyle w:val="Compact"/>
        <w:numPr>
          <w:ilvl w:val="0"/>
          <w:numId w:val="1002"/>
        </w:numPr>
      </w:pPr>
      <w:r>
        <w:t xml:space="preserve">Orders</w:t>
      </w:r>
    </w:p>
    <w:p>
      <w:pPr>
        <w:pStyle w:val="Compact"/>
        <w:numPr>
          <w:ilvl w:val="0"/>
          <w:numId w:val="1002"/>
        </w:numPr>
      </w:pPr>
      <w:r>
        <w:t xml:space="preserve">Marketing</w:t>
      </w:r>
    </w:p>
    <w:p>
      <w:pPr>
        <w:pStyle w:val="Compact"/>
        <w:numPr>
          <w:ilvl w:val="0"/>
          <w:numId w:val="1002"/>
        </w:numPr>
      </w:pPr>
      <w:r>
        <w:t xml:space="preserve">CRM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AI</w:t>
      </w:r>
    </w:p>
    <w:p>
      <w:pPr>
        <w:pStyle w:val="Compact"/>
        <w:numPr>
          <w:ilvl w:val="0"/>
          <w:numId w:val="1002"/>
        </w:numPr>
      </w:pPr>
      <w:r>
        <w:t xml:space="preserve">Administration</w:t>
      </w:r>
    </w:p>
    <w:p>
      <w:r>
        <w:pict>
          <v:rect style="width:0;height:1.5pt" o:hralign="center" o:hrstd="t" o:hr="t"/>
        </w:pict>
      </w:r>
    </w:p>
    <w:bookmarkEnd w:id="24"/>
    <w:bookmarkStart w:id="25" w:name="multi-tenant"/>
    <w:p>
      <w:pPr>
        <w:pStyle w:val="Heading2"/>
      </w:pPr>
      <w:r>
        <w:t xml:space="preserve">Multi-Tenant</w:t>
      </w:r>
    </w:p>
    <w:p>
      <w:pPr>
        <w:pStyle w:val="FirstParagraph"/>
      </w:pPr>
      <w:r>
        <w:t xml:space="preserve">La plataforma se diseñará desde el inicio para soportar múltiples organizaciones.</w:t>
      </w:r>
    </w:p>
    <w:p>
      <w:pPr>
        <w:pStyle w:val="BodyText"/>
      </w:pPr>
      <w:r>
        <w:t xml:space="preserve">Cada organización será propietaria de sus datos.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    └── {organizationId}</w:t>
      </w:r>
    </w:p>
    <w:p>
      <w:pPr>
        <w:pStyle w:val="FirstParagraph"/>
      </w:pPr>
      <w:r>
        <w:t xml:space="preserve">Esta decisión evita migraciones estructurales si la plataforma evoluciona a SaaS.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Firestore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organizations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organizationId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users</w:t>
      </w:r>
      <w:r>
        <w:br/>
      </w:r>
      <w:r>
        <w:rPr>
          <w:rStyle w:val="VerbatimChar"/>
        </w:rPr>
        <w:t xml:space="preserve">            ├── customers</w:t>
      </w:r>
      <w:r>
        <w:br/>
      </w:r>
      <w:r>
        <w:rPr>
          <w:rStyle w:val="VerbatimChar"/>
        </w:rPr>
        <w:t xml:space="preserve">            ├── specialists</w:t>
      </w:r>
      <w:r>
        <w:br/>
      </w:r>
      <w:r>
        <w:rPr>
          <w:rStyle w:val="VerbatimChar"/>
        </w:rPr>
        <w:t xml:space="preserve">            ├── appointments</w:t>
      </w:r>
      <w:r>
        <w:br/>
      </w:r>
      <w:r>
        <w:rPr>
          <w:rStyle w:val="VerbatimChar"/>
        </w:rPr>
        <w:t xml:space="preserve">            ├── products</w:t>
      </w:r>
      <w:r>
        <w:br/>
      </w:r>
      <w:r>
        <w:rPr>
          <w:rStyle w:val="VerbatimChar"/>
        </w:rPr>
        <w:t xml:space="preserve">            ├── categories</w:t>
      </w:r>
      <w:r>
        <w:br/>
      </w:r>
      <w:r>
        <w:rPr>
          <w:rStyle w:val="VerbatimChar"/>
        </w:rPr>
        <w:t xml:space="preserve">            ├── brands</w:t>
      </w:r>
      <w:r>
        <w:br/>
      </w:r>
      <w:r>
        <w:rPr>
          <w:rStyle w:val="VerbatimChar"/>
        </w:rPr>
        <w:t xml:space="preserve">            ├── inventory</w:t>
      </w:r>
      <w:r>
        <w:br/>
      </w:r>
      <w:r>
        <w:rPr>
          <w:rStyle w:val="VerbatimChar"/>
        </w:rPr>
        <w:t xml:space="preserve">            ├── orders</w:t>
      </w:r>
      <w:r>
        <w:br/>
      </w:r>
      <w:r>
        <w:rPr>
          <w:rStyle w:val="VerbatimChar"/>
        </w:rPr>
        <w:t xml:space="preserve">            ├── carts</w:t>
      </w:r>
      <w:r>
        <w:br/>
      </w:r>
      <w:r>
        <w:rPr>
          <w:rStyle w:val="VerbatimChar"/>
        </w:rPr>
        <w:t xml:space="preserve">            ├── wishlists</w:t>
      </w:r>
      <w:r>
        <w:br/>
      </w:r>
      <w:r>
        <w:rPr>
          <w:rStyle w:val="VerbatimChar"/>
        </w:rPr>
        <w:t xml:space="preserve">            ├── promotions</w:t>
      </w:r>
      <w:r>
        <w:br/>
      </w:r>
      <w:r>
        <w:rPr>
          <w:rStyle w:val="VerbatimChar"/>
        </w:rPr>
        <w:t xml:space="preserve">            ├── coupons</w:t>
      </w:r>
      <w:r>
        <w:br/>
      </w:r>
      <w:r>
        <w:rPr>
          <w:rStyle w:val="VerbatimChar"/>
        </w:rPr>
        <w:t xml:space="preserve">            ├── crm</w:t>
      </w:r>
      <w:r>
        <w:br/>
      </w:r>
      <w:r>
        <w:rPr>
          <w:rStyle w:val="VerbatimChar"/>
        </w:rPr>
        <w:t xml:space="preserve">            ├── analytics</w:t>
      </w:r>
      <w:r>
        <w:br/>
      </w:r>
      <w:r>
        <w:rPr>
          <w:rStyle w:val="VerbatimChar"/>
        </w:rPr>
        <w:t xml:space="preserve">            ├── ai</w:t>
      </w:r>
      <w:r>
        <w:br/>
      </w:r>
      <w:r>
        <w:rPr>
          <w:rStyle w:val="VerbatimChar"/>
        </w:rPr>
        <w:t xml:space="preserve">            ├── settings</w:t>
      </w:r>
      <w:r>
        <w:br/>
      </w:r>
      <w:r>
        <w:rPr>
          <w:rStyle w:val="VerbatimChar"/>
        </w:rPr>
        <w:t xml:space="preserve">            └── auditLogs</w:t>
      </w:r>
    </w:p>
    <w:p>
      <w:r>
        <w:pict>
          <v:rect style="width:0;height:1.5pt" o:hralign="center" o:hrstd="t" o:hr="t"/>
        </w:pict>
      </w:r>
    </w:p>
    <w:bookmarkEnd w:id="27"/>
    <w:bookmarkStart w:id="30" w:name="organización-de-colecciones"/>
    <w:p>
      <w:pPr>
        <w:pStyle w:val="Heading1"/>
      </w:pPr>
      <w:r>
        <w:t xml:space="preserve">Organización de Colecciones</w:t>
      </w:r>
    </w:p>
    <w:bookmarkStart w:id="28" w:name="nivel-1"/>
    <w:p>
      <w:pPr>
        <w:pStyle w:val="Heading2"/>
      </w:pPr>
      <w:r>
        <w:t xml:space="preserve">Nivel 1</w:t>
      </w:r>
    </w:p>
    <w:p>
      <w:pPr>
        <w:pStyle w:val="FirstParagraph"/>
      </w:pPr>
      <w:r>
        <w:t xml:space="preserve">Colecciones globales.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organizations</w:t>
      </w:r>
    </w:p>
    <w:p>
      <w:pPr>
        <w:pStyle w:val="Compact"/>
        <w:numPr>
          <w:ilvl w:val="0"/>
          <w:numId w:val="1003"/>
        </w:numPr>
      </w:pPr>
      <w:r>
        <w:t xml:space="preserve">system</w:t>
      </w:r>
    </w:p>
    <w:p>
      <w:r>
        <w:pict>
          <v:rect style="width:0;height:1.5pt" o:hralign="center" o:hrstd="t" o:hr="t"/>
        </w:pict>
      </w:r>
    </w:p>
    <w:bookmarkEnd w:id="28"/>
    <w:bookmarkStart w:id="29" w:name="nivel-2"/>
    <w:p>
      <w:pPr>
        <w:pStyle w:val="Heading2"/>
      </w:pPr>
      <w:r>
        <w:t xml:space="preserve">Nivel 2</w:t>
      </w:r>
    </w:p>
    <w:p>
      <w:pPr>
        <w:pStyle w:val="FirstParagraph"/>
      </w:pPr>
      <w:r>
        <w:t xml:space="preserve">Colecciones pertenecientes a cada organización.</w:t>
      </w:r>
    </w:p>
    <w:p>
      <w:pPr>
        <w:pStyle w:val="BodyText"/>
      </w:pPr>
      <w:r>
        <w:t xml:space="preserve">Cada dominio será independiente.</w:t>
      </w:r>
    </w:p>
    <w:p>
      <w:pPr>
        <w:pStyle w:val="BodyText"/>
      </w:pPr>
      <w:r>
        <w:t xml:space="preserve">No se mezclarán entidades distintas dentro de la misma colección.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dentificadores"/>
    <w:p>
      <w:pPr>
        <w:pStyle w:val="Heading1"/>
      </w:pPr>
      <w:r>
        <w:t xml:space="preserve">Identificadores</w:t>
      </w:r>
    </w:p>
    <w:p>
      <w:pPr>
        <w:pStyle w:val="FirstParagraph"/>
      </w:pPr>
      <w:r>
        <w:t xml:space="preserve">Todos los documentos utilizarán IDs generados automáticamente por Firestore, salvo cuando exista una justificación funcional para emplear un identificador propio.</w:t>
      </w:r>
    </w:p>
    <w:p>
      <w:pPr>
        <w:pStyle w:val="BodyText"/>
      </w:pPr>
      <w:r>
        <w:t xml:space="preserve">Los códigos visibles para el usuario (por ejemplo, números de pedido) se gestionarán como atributos adicionales.</w:t>
      </w:r>
    </w:p>
    <w:p>
      <w:r>
        <w:pict>
          <v:rect style="width:0;height:1.5pt" o:hralign="center" o:hrstd="t" o:hr="t"/>
        </w:pict>
      </w:r>
    </w:p>
    <w:bookmarkEnd w:id="31"/>
    <w:bookmarkStart w:id="32" w:name="relaciones"/>
    <w:p>
      <w:pPr>
        <w:pStyle w:val="Heading1"/>
      </w:pPr>
      <w:r>
        <w:t xml:space="preserve">Relaciones</w:t>
      </w:r>
    </w:p>
    <w:p>
      <w:pPr>
        <w:pStyle w:val="FirstParagraph"/>
      </w:pPr>
      <w:r>
        <w:t xml:space="preserve">Firestore no implementa relaciones como una base de datos relacional.</w:t>
      </w:r>
    </w:p>
    <w:p>
      <w:pPr>
        <w:pStyle w:val="BodyText"/>
      </w:pPr>
      <w:r>
        <w:t xml:space="preserve">Se adoptarán las siguientes estrategias:</w:t>
      </w:r>
    </w:p>
    <w:p>
      <w:pPr>
        <w:pStyle w:val="Compact"/>
        <w:numPr>
          <w:ilvl w:val="0"/>
          <w:numId w:val="1004"/>
        </w:numPr>
      </w:pPr>
      <w:r>
        <w:t xml:space="preserve">Referencias mediante IDs.</w:t>
      </w:r>
    </w:p>
    <w:p>
      <w:pPr>
        <w:pStyle w:val="Compact"/>
        <w:numPr>
          <w:ilvl w:val="0"/>
          <w:numId w:val="1004"/>
        </w:numPr>
      </w:pPr>
      <w:r>
        <w:t xml:space="preserve">Desnormalización controlada.</w:t>
      </w:r>
    </w:p>
    <w:p>
      <w:pPr>
        <w:pStyle w:val="Compact"/>
        <w:numPr>
          <w:ilvl w:val="0"/>
          <w:numId w:val="1004"/>
        </w:numPr>
      </w:pPr>
      <w:r>
        <w:t xml:space="preserve">Duplicación únicamente cuando reduzca lecturas o preserve información histórica.</w:t>
      </w:r>
    </w:p>
    <w:p>
      <w:r>
        <w:pict>
          <v:rect style="width:0;height:1.5pt" o:hralign="center" o:hrstd="t" o:hr="t"/>
        </w:pict>
      </w:r>
    </w:p>
    <w:bookmarkEnd w:id="32"/>
    <w:bookmarkStart w:id="33" w:name="convenciones-de-documentos"/>
    <w:p>
      <w:pPr>
        <w:pStyle w:val="Heading1"/>
      </w:pPr>
      <w:r>
        <w:t xml:space="preserve">Convenciones de Documentos</w:t>
      </w:r>
    </w:p>
    <w:p>
      <w:pPr>
        <w:pStyle w:val="FirstParagraph"/>
      </w:pPr>
      <w:r>
        <w:t xml:space="preserve">Cada documento incluirá metadatos comunes:</w:t>
      </w:r>
    </w:p>
    <w:p>
      <w:pPr>
        <w:pStyle w:val="Compact"/>
        <w:numPr>
          <w:ilvl w:val="0"/>
          <w:numId w:val="1005"/>
        </w:numPr>
      </w:pPr>
      <w:r>
        <w:t xml:space="preserve">id</w:t>
      </w:r>
    </w:p>
    <w:p>
      <w:pPr>
        <w:pStyle w:val="Compact"/>
        <w:numPr>
          <w:ilvl w:val="0"/>
          <w:numId w:val="1005"/>
        </w:numPr>
      </w:pPr>
      <w:r>
        <w:t xml:space="preserve">createdAt</w:t>
      </w:r>
    </w:p>
    <w:p>
      <w:pPr>
        <w:pStyle w:val="Compact"/>
        <w:numPr>
          <w:ilvl w:val="0"/>
          <w:numId w:val="1005"/>
        </w:numPr>
      </w:pPr>
      <w:r>
        <w:t xml:space="preserve">createdBy</w:t>
      </w:r>
    </w:p>
    <w:p>
      <w:pPr>
        <w:pStyle w:val="Compact"/>
        <w:numPr>
          <w:ilvl w:val="0"/>
          <w:numId w:val="1005"/>
        </w:numPr>
      </w:pPr>
      <w:r>
        <w:t xml:space="preserve">updatedAt</w:t>
      </w:r>
    </w:p>
    <w:p>
      <w:pPr>
        <w:pStyle w:val="Compact"/>
        <w:numPr>
          <w:ilvl w:val="0"/>
          <w:numId w:val="1005"/>
        </w:numPr>
      </w:pPr>
      <w:r>
        <w:t xml:space="preserve">updatedBy</w:t>
      </w:r>
    </w:p>
    <w:p>
      <w:pPr>
        <w:pStyle w:val="Compact"/>
        <w:numPr>
          <w:ilvl w:val="0"/>
          <w:numId w:val="1005"/>
        </w:numPr>
      </w:pPr>
      <w:r>
        <w:t xml:space="preserve">status</w:t>
      </w:r>
    </w:p>
    <w:p>
      <w:pPr>
        <w:pStyle w:val="FirstParagraph"/>
      </w:pPr>
      <w:r>
        <w:t xml:space="preserve">Opcionalmente:</w:t>
      </w:r>
    </w:p>
    <w:p>
      <w:pPr>
        <w:pStyle w:val="Compact"/>
        <w:numPr>
          <w:ilvl w:val="0"/>
          <w:numId w:val="1006"/>
        </w:numPr>
      </w:pPr>
      <w:r>
        <w:t xml:space="preserve">deletedAt</w:t>
      </w:r>
    </w:p>
    <w:p>
      <w:pPr>
        <w:pStyle w:val="Compact"/>
        <w:numPr>
          <w:ilvl w:val="0"/>
          <w:numId w:val="1006"/>
        </w:numPr>
      </w:pPr>
      <w:r>
        <w:t xml:space="preserve">deletedBy</w:t>
      </w:r>
    </w:p>
    <w:p>
      <w:pPr>
        <w:pStyle w:val="FirstParagraph"/>
      </w:pPr>
      <w:r>
        <w:t xml:space="preserve">La eliminación lógica se utilizará cuando sea necesario conservar el historial.</w:t>
      </w:r>
    </w:p>
    <w:p>
      <w:r>
        <w:pict>
          <v:rect style="width:0;height:1.5pt" o:hralign="center" o:hrstd="t" o:hr="t"/>
        </w:pict>
      </w:r>
    </w:p>
    <w:bookmarkEnd w:id="33"/>
    <w:bookmarkStart w:id="34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Las operaciones críticas generarán registros de auditoría.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Cambios de inventario.</w:t>
      </w:r>
    </w:p>
    <w:p>
      <w:pPr>
        <w:pStyle w:val="Compact"/>
        <w:numPr>
          <w:ilvl w:val="0"/>
          <w:numId w:val="1007"/>
        </w:numPr>
      </w:pPr>
      <w:r>
        <w:t xml:space="preserve">Modificación de precios.</w:t>
      </w:r>
    </w:p>
    <w:p>
      <w:pPr>
        <w:pStyle w:val="Compact"/>
        <w:numPr>
          <w:ilvl w:val="0"/>
          <w:numId w:val="1007"/>
        </w:numPr>
      </w:pPr>
      <w:r>
        <w:t xml:space="preserve">Cancelación de reservas.</w:t>
      </w:r>
    </w:p>
    <w:p>
      <w:pPr>
        <w:pStyle w:val="Compact"/>
        <w:numPr>
          <w:ilvl w:val="0"/>
          <w:numId w:val="1007"/>
        </w:numPr>
      </w:pPr>
      <w:r>
        <w:t xml:space="preserve">Actualización de permisos.</w:t>
      </w:r>
    </w:p>
    <w:p>
      <w:pPr>
        <w:pStyle w:val="Compact"/>
        <w:numPr>
          <w:ilvl w:val="0"/>
          <w:numId w:val="1007"/>
        </w:numPr>
      </w:pPr>
      <w:r>
        <w:t xml:space="preserve">Eliminación lógica de registros.</w:t>
      </w:r>
    </w:p>
    <w:p>
      <w:pPr>
        <w:pStyle w:val="FirstParagraph"/>
      </w:pPr>
      <w:r>
        <w:t xml:space="preserve">Los registros de auditoría no reemplazan los datos operativos; complementan el seguimiento de acciones relevantes.</w:t>
      </w:r>
    </w:p>
    <w:p>
      <w:r>
        <w:pict>
          <v:rect style="width:0;height:1.5pt" o:hralign="center" o:hrstd="t" o:hr="t"/>
        </w:pict>
      </w:r>
    </w:p>
    <w:bookmarkEnd w:id="34"/>
    <w:bookmarkStart w:id="35" w:name="estrategia-de-lecturas"/>
    <w:p>
      <w:pPr>
        <w:pStyle w:val="Heading1"/>
      </w:pPr>
      <w:r>
        <w:t xml:space="preserve">Estrategia de Lecturas</w:t>
      </w:r>
    </w:p>
    <w:p>
      <w:pPr>
        <w:pStyle w:val="FirstParagraph"/>
      </w:pPr>
      <w:r>
        <w:t xml:space="preserve">Se priorizarán consultas específicas y documentos pequeños.</w:t>
      </w:r>
    </w:p>
    <w:p>
      <w:pPr>
        <w:pStyle w:val="BodyText"/>
      </w:pPr>
      <w:r>
        <w:t xml:space="preserve">Buenas prácticas:</w:t>
      </w:r>
    </w:p>
    <w:p>
      <w:pPr>
        <w:pStyle w:val="Compact"/>
        <w:numPr>
          <w:ilvl w:val="0"/>
          <w:numId w:val="1008"/>
        </w:numPr>
      </w:pPr>
      <w:r>
        <w:t xml:space="preserve">Evitar consultas sin filtros.</w:t>
      </w:r>
    </w:p>
    <w:p>
      <w:pPr>
        <w:pStyle w:val="Compact"/>
        <w:numPr>
          <w:ilvl w:val="0"/>
          <w:numId w:val="1008"/>
        </w:numPr>
      </w:pPr>
      <w:r>
        <w:t xml:space="preserve">Evitar documentos excesivamente grandes.</w:t>
      </w:r>
    </w:p>
    <w:p>
      <w:pPr>
        <w:pStyle w:val="Compact"/>
        <w:numPr>
          <w:ilvl w:val="0"/>
          <w:numId w:val="1008"/>
        </w:numPr>
      </w:pPr>
      <w:r>
        <w:t xml:space="preserve">Evitar estructuras profundamente anidadas.</w:t>
      </w:r>
    </w:p>
    <w:p>
      <w:pPr>
        <w:pStyle w:val="Compact"/>
        <w:numPr>
          <w:ilvl w:val="0"/>
          <w:numId w:val="1008"/>
        </w:numPr>
      </w:pPr>
      <w:r>
        <w:t xml:space="preserve">Diseñar índices antes de implementar consultas.</w:t>
      </w:r>
    </w:p>
    <w:p>
      <w:r>
        <w:pict>
          <v:rect style="width:0;height:1.5pt" o:hralign="center" o:hrstd="t" o:hr="t"/>
        </w:pict>
      </w:r>
    </w:p>
    <w:bookmarkEnd w:id="35"/>
    <w:bookmarkStart w:id="36" w:name="estrategia-de-escrituras"/>
    <w:p>
      <w:pPr>
        <w:pStyle w:val="Heading1"/>
      </w:pPr>
      <w:r>
        <w:t xml:space="preserve">Estrategia de Escrituras</w:t>
      </w:r>
    </w:p>
    <w:p>
      <w:pPr>
        <w:pStyle w:val="FirstParagraph"/>
      </w:pPr>
      <w:r>
        <w:t xml:space="preserve">Las operaciones que involucren varias entidades utilizarán:</w:t>
      </w:r>
    </w:p>
    <w:p>
      <w:pPr>
        <w:pStyle w:val="Compact"/>
        <w:numPr>
          <w:ilvl w:val="0"/>
          <w:numId w:val="1009"/>
        </w:numPr>
      </w:pPr>
      <w:r>
        <w:t xml:space="preserve">Transacciones.</w:t>
      </w:r>
    </w:p>
    <w:p>
      <w:pPr>
        <w:pStyle w:val="Compact"/>
        <w:numPr>
          <w:ilvl w:val="0"/>
          <w:numId w:val="1009"/>
        </w:numPr>
      </w:pPr>
      <w:r>
        <w:t xml:space="preserve">Escrituras por lotes.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Confirmación de un pedido.</w:t>
      </w:r>
    </w:p>
    <w:p>
      <w:pPr>
        <w:pStyle w:val="Compact"/>
        <w:numPr>
          <w:ilvl w:val="0"/>
          <w:numId w:val="1010"/>
        </w:numPr>
      </w:pPr>
      <w:r>
        <w:t xml:space="preserve">Confirmación de una cita.</w:t>
      </w:r>
    </w:p>
    <w:p>
      <w:pPr>
        <w:pStyle w:val="Compact"/>
        <w:numPr>
          <w:ilvl w:val="0"/>
          <w:numId w:val="1010"/>
        </w:numPr>
      </w:pPr>
      <w:r>
        <w:t xml:space="preserve">Ajuste de inventario.</w:t>
      </w:r>
    </w:p>
    <w:p>
      <w:r>
        <w:pict>
          <v:rect style="width:0;height:1.5pt" o:hralign="center" o:hrstd="t" o:hr="t"/>
        </w:pict>
      </w:r>
    </w:p>
    <w:bookmarkEnd w:id="36"/>
    <w:bookmarkStart w:id="37" w:name="índices"/>
    <w:p>
      <w:pPr>
        <w:pStyle w:val="Heading1"/>
      </w:pPr>
      <w:r>
        <w:t xml:space="preserve">Índices</w:t>
      </w:r>
    </w:p>
    <w:p>
      <w:pPr>
        <w:pStyle w:val="FirstParagraph"/>
      </w:pPr>
      <w:r>
        <w:t xml:space="preserve">Todos los índices requeridos deberán documentarse antes de implementar una consulta.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1"/>
        </w:numPr>
      </w:pPr>
      <w:r>
        <w:t xml:space="preserve">products: category + status</w:t>
      </w:r>
    </w:p>
    <w:p>
      <w:pPr>
        <w:pStyle w:val="Compact"/>
        <w:numPr>
          <w:ilvl w:val="0"/>
          <w:numId w:val="1011"/>
        </w:numPr>
      </w:pPr>
      <w:r>
        <w:t xml:space="preserve">products: brand + status</w:t>
      </w:r>
    </w:p>
    <w:p>
      <w:pPr>
        <w:pStyle w:val="Compact"/>
        <w:numPr>
          <w:ilvl w:val="0"/>
          <w:numId w:val="1011"/>
        </w:numPr>
      </w:pPr>
      <w:r>
        <w:t xml:space="preserve">appointments: specialist + date</w:t>
      </w:r>
    </w:p>
    <w:p>
      <w:pPr>
        <w:pStyle w:val="Compact"/>
        <w:numPr>
          <w:ilvl w:val="0"/>
          <w:numId w:val="1011"/>
        </w:numPr>
      </w:pPr>
      <w:r>
        <w:t xml:space="preserve">appointments: customer + date</w:t>
      </w:r>
    </w:p>
    <w:p>
      <w:pPr>
        <w:pStyle w:val="Compact"/>
        <w:numPr>
          <w:ilvl w:val="0"/>
          <w:numId w:val="1011"/>
        </w:numPr>
      </w:pPr>
      <w:r>
        <w:t xml:space="preserve">orders: customer + createdAt</w:t>
      </w:r>
    </w:p>
    <w:p>
      <w:pPr>
        <w:pStyle w:val="Compact"/>
        <w:numPr>
          <w:ilvl w:val="0"/>
          <w:numId w:val="1011"/>
        </w:numPr>
      </w:pPr>
      <w:r>
        <w:t xml:space="preserve">orders: status + createdAt</w:t>
      </w:r>
    </w:p>
    <w:p>
      <w:r>
        <w:pict>
          <v:rect style="width:0;height:1.5pt" o:hralign="center" o:hrstd="t" o:hr="t"/>
        </w:pict>
      </w:r>
    </w:p>
    <w:bookmarkEnd w:id="37"/>
    <w:bookmarkStart w:id="38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La seguridad se implementará mediante Firestore Security Rules y validaciones en el backend cuando corresponda.</w:t>
      </w:r>
    </w:p>
    <w:p>
      <w:pPr>
        <w:pStyle w:val="BodyText"/>
      </w:pPr>
      <w:r>
        <w:t xml:space="preserve">Principios:</w:t>
      </w:r>
    </w:p>
    <w:p>
      <w:pPr>
        <w:pStyle w:val="Compact"/>
        <w:numPr>
          <w:ilvl w:val="0"/>
          <w:numId w:val="1012"/>
        </w:numPr>
      </w:pPr>
      <w:r>
        <w:t xml:space="preserve">Mínimo privilegio.</w:t>
      </w:r>
    </w:p>
    <w:p>
      <w:pPr>
        <w:pStyle w:val="Compact"/>
        <w:numPr>
          <w:ilvl w:val="0"/>
          <w:numId w:val="1012"/>
        </w:numPr>
      </w:pPr>
      <w:r>
        <w:t xml:space="preserve">Acceso restringido por organización.</w:t>
      </w:r>
    </w:p>
    <w:p>
      <w:pPr>
        <w:pStyle w:val="Compact"/>
        <w:numPr>
          <w:ilvl w:val="0"/>
          <w:numId w:val="1012"/>
        </w:numPr>
      </w:pPr>
      <w:r>
        <w:t xml:space="preserve">Separación de roles y permisos.</w:t>
      </w:r>
    </w:p>
    <w:p>
      <w:pPr>
        <w:pStyle w:val="Compact"/>
        <w:numPr>
          <w:ilvl w:val="0"/>
          <w:numId w:val="1012"/>
        </w:numPr>
      </w:pPr>
      <w:r>
        <w:t xml:space="preserve">Validación de operaciones críticas.</w:t>
      </w:r>
    </w:p>
    <w:p>
      <w:r>
        <w:pict>
          <v:rect style="width:0;height:1.5pt" o:hralign="center" o:hrstd="t" o:hr="t"/>
        </w:pict>
      </w:r>
    </w:p>
    <w:bookmarkEnd w:id="38"/>
    <w:bookmarkStart w:id="39" w:name="escalabilidad"/>
    <w:p>
      <w:pPr>
        <w:pStyle w:val="Heading1"/>
      </w:pPr>
      <w:r>
        <w:t xml:space="preserve">Escalabilidad</w:t>
      </w:r>
    </w:p>
    <w:p>
      <w:pPr>
        <w:pStyle w:val="FirstParagraph"/>
      </w:pPr>
      <w:r>
        <w:t xml:space="preserve">El modelo permitirá incorporar sin rediseño:</w:t>
      </w:r>
    </w:p>
    <w:p>
      <w:pPr>
        <w:pStyle w:val="Compact"/>
        <w:numPr>
          <w:ilvl w:val="0"/>
          <w:numId w:val="1013"/>
        </w:numPr>
      </w:pPr>
      <w:r>
        <w:t xml:space="preserve">Variantes de productos.</w:t>
      </w:r>
    </w:p>
    <w:p>
      <w:pPr>
        <w:pStyle w:val="Compact"/>
        <w:numPr>
          <w:ilvl w:val="0"/>
          <w:numId w:val="1013"/>
        </w:numPr>
      </w:pPr>
      <w:r>
        <w:t xml:space="preserve">Múltiples sucursales.</w:t>
      </w:r>
    </w:p>
    <w:p>
      <w:pPr>
        <w:pStyle w:val="Compact"/>
        <w:numPr>
          <w:ilvl w:val="0"/>
          <w:numId w:val="1013"/>
        </w:numPr>
      </w:pPr>
      <w:r>
        <w:t xml:space="preserve">Múltiples almacenes.</w:t>
      </w:r>
    </w:p>
    <w:p>
      <w:pPr>
        <w:pStyle w:val="Compact"/>
        <w:numPr>
          <w:ilvl w:val="0"/>
          <w:numId w:val="1013"/>
        </w:numPr>
      </w:pPr>
      <w:r>
        <w:t xml:space="preserve">Nuevos métodos de pago.</w:t>
      </w:r>
    </w:p>
    <w:p>
      <w:pPr>
        <w:pStyle w:val="Compact"/>
        <w:numPr>
          <w:ilvl w:val="0"/>
          <w:numId w:val="1013"/>
        </w:numPr>
      </w:pPr>
      <w:r>
        <w:t xml:space="preserve">Nuevos módulos.</w:t>
      </w:r>
    </w:p>
    <w:p>
      <w:pPr>
        <w:pStyle w:val="Compact"/>
        <w:numPr>
          <w:ilvl w:val="0"/>
          <w:numId w:val="1013"/>
        </w:numPr>
      </w:pPr>
      <w:r>
        <w:t xml:space="preserve">Aplicaciones móviles.</w:t>
      </w:r>
    </w:p>
    <w:p>
      <w:pPr>
        <w:pStyle w:val="Compact"/>
        <w:numPr>
          <w:ilvl w:val="0"/>
          <w:numId w:val="1013"/>
        </w:numPr>
      </w:pPr>
      <w:r>
        <w:t xml:space="preserve">Nuevas organizaciones.</w:t>
      </w:r>
    </w:p>
    <w:p>
      <w:r>
        <w:pict>
          <v:rect style="width:0;height:1.5pt" o:hralign="center" o:hrstd="t" o:hr="t"/>
        </w:pict>
      </w:r>
    </w:p>
    <w:bookmarkEnd w:id="39"/>
    <w:bookmarkStart w:id="40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Se buscará:</w:t>
      </w:r>
    </w:p>
    <w:p>
      <w:pPr>
        <w:pStyle w:val="Compact"/>
        <w:numPr>
          <w:ilvl w:val="0"/>
          <w:numId w:val="1014"/>
        </w:numPr>
      </w:pPr>
      <w:r>
        <w:t xml:space="preserve">Reducir el número de lecturas.</w:t>
      </w:r>
    </w:p>
    <w:p>
      <w:pPr>
        <w:pStyle w:val="Compact"/>
        <w:numPr>
          <w:ilvl w:val="0"/>
          <w:numId w:val="1014"/>
        </w:numPr>
      </w:pPr>
      <w:r>
        <w:t xml:space="preserve">Reducir documentos transferidos.</w:t>
      </w:r>
    </w:p>
    <w:p>
      <w:pPr>
        <w:pStyle w:val="Compact"/>
        <w:numPr>
          <w:ilvl w:val="0"/>
          <w:numId w:val="1014"/>
        </w:numPr>
      </w:pPr>
      <w:r>
        <w:t xml:space="preserve">Evitar duplicaciones innecesarias.</w:t>
      </w:r>
    </w:p>
    <w:p>
      <w:pPr>
        <w:pStyle w:val="Compact"/>
        <w:numPr>
          <w:ilvl w:val="0"/>
          <w:numId w:val="1014"/>
        </w:numPr>
      </w:pPr>
      <w:r>
        <w:t xml:space="preserve">Optimizar consultas frecuentes.</w:t>
      </w:r>
    </w:p>
    <w:p>
      <w:pPr>
        <w:pStyle w:val="FirstParagraph"/>
      </w:pPr>
      <w:r>
        <w:t xml:space="preserve">El rendimiento será un criterio de diseño y no una optimización posterior.</w:t>
      </w:r>
    </w:p>
    <w:p>
      <w:r>
        <w:pict>
          <v:rect style="width:0;height:1.5pt" o:hralign="center" o:hrstd="t" o:hr="t"/>
        </w:pict>
      </w:r>
    </w:p>
    <w:bookmarkEnd w:id="40"/>
    <w:bookmarkStart w:id="41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5"/>
        </w:numPr>
      </w:pPr>
      <w:r>
        <w:t xml:space="preserve">Consultas costosas.</w:t>
      </w:r>
    </w:p>
    <w:p>
      <w:pPr>
        <w:pStyle w:val="Compact"/>
        <w:numPr>
          <w:ilvl w:val="0"/>
          <w:numId w:val="1015"/>
        </w:numPr>
      </w:pPr>
      <w:r>
        <w:t xml:space="preserve">Crecimiento excesivo de documentos.</w:t>
      </w:r>
    </w:p>
    <w:p>
      <w:pPr>
        <w:pStyle w:val="Compact"/>
        <w:numPr>
          <w:ilvl w:val="0"/>
          <w:numId w:val="1015"/>
        </w:numPr>
      </w:pPr>
      <w:r>
        <w:t xml:space="preserve">Duplicación de datos.</w:t>
      </w:r>
    </w:p>
    <w:p>
      <w:pPr>
        <w:pStyle w:val="Compact"/>
        <w:numPr>
          <w:ilvl w:val="0"/>
          <w:numId w:val="1015"/>
        </w:numPr>
      </w:pPr>
      <w:r>
        <w:t xml:space="preserve">Reglas de seguridad complejas.</w:t>
      </w:r>
    </w:p>
    <w:p>
      <w:pPr>
        <w:pStyle w:val="Compact"/>
        <w:numPr>
          <w:ilvl w:val="0"/>
          <w:numId w:val="1015"/>
        </w:numPr>
      </w:pPr>
      <w:r>
        <w:t xml:space="preserve">Acoplamiento entre dominios.</w:t>
      </w:r>
    </w:p>
    <w:p>
      <w:pPr>
        <w:pStyle w:val="FirstParagraph"/>
      </w:pPr>
      <w:r>
        <w:t xml:space="preserve">Cada riesgo deberá evaluarse antes de modificar el modelo de datos.</w:t>
      </w:r>
    </w:p>
    <w:p>
      <w:r>
        <w:pict>
          <v:rect style="width:0;height:1.5pt" o:hralign="center" o:hrstd="t" o:hr="t"/>
        </w:pict>
      </w:r>
    </w:p>
    <w:bookmarkEnd w:id="41"/>
    <w:bookmarkStart w:id="42" w:name="decisiones-arquitectónicas"/>
    <w:p>
      <w:pPr>
        <w:pStyle w:val="Heading1"/>
      </w:pPr>
      <w:r>
        <w:t xml:space="preserve">Decisiones Arquitectónicas</w:t>
      </w:r>
    </w:p>
    <w:p>
      <w:pPr>
        <w:pStyle w:val="FirstParagraph"/>
      </w:pPr>
      <w:r>
        <w:t xml:space="preserve">Las decisiones relacionadas con Firestore se documentarán mediante ADR.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6"/>
        </w:numPr>
      </w:pPr>
      <w:r>
        <w:t xml:space="preserve">ADR005 – Estrategia Multi-Tenant.</w:t>
      </w:r>
    </w:p>
    <w:p>
      <w:pPr>
        <w:pStyle w:val="Compact"/>
        <w:numPr>
          <w:ilvl w:val="0"/>
          <w:numId w:val="1016"/>
        </w:numPr>
      </w:pPr>
      <w:r>
        <w:t xml:space="preserve">ADR006 – Organización de Colecciones.</w:t>
      </w:r>
    </w:p>
    <w:p>
      <w:pPr>
        <w:pStyle w:val="Compact"/>
        <w:numPr>
          <w:ilvl w:val="0"/>
          <w:numId w:val="1016"/>
        </w:numPr>
      </w:pPr>
      <w:r>
        <w:t xml:space="preserve">ADR007 – Convenciones de Documentos.</w:t>
      </w:r>
    </w:p>
    <w:p>
      <w:pPr>
        <w:pStyle w:val="Compact"/>
        <w:numPr>
          <w:ilvl w:val="0"/>
          <w:numId w:val="1016"/>
        </w:numPr>
      </w:pPr>
      <w:r>
        <w:t xml:space="preserve">ADR008 – Estrategia de Auditoría.</w:t>
      </w:r>
    </w:p>
    <w:p>
      <w:r>
        <w:pict>
          <v:rect style="width:0;height:1.5pt" o:hralign="center" o:hrstd="t" o:hr="t"/>
        </w:pict>
      </w:r>
    </w:p>
    <w:bookmarkEnd w:id="42"/>
    <w:bookmarkStart w:id="43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7"/>
        </w:numPr>
      </w:pPr>
      <w:r>
        <w:t xml:space="preserve">Arquitectura general definida.</w:t>
      </w:r>
    </w:p>
    <w:p>
      <w:pPr>
        <w:pStyle w:val="Compact"/>
        <w:numPr>
          <w:ilvl w:val="0"/>
          <w:numId w:val="1017"/>
        </w:numPr>
      </w:pPr>
      <w:r>
        <w:t xml:space="preserve">Organización por dominios aprobada.</w:t>
      </w:r>
    </w:p>
    <w:p>
      <w:pPr>
        <w:pStyle w:val="Compact"/>
        <w:numPr>
          <w:ilvl w:val="0"/>
          <w:numId w:val="1017"/>
        </w:numPr>
      </w:pPr>
      <w:r>
        <w:t xml:space="preserve">Estrategia multi-tenant aprobada.</w:t>
      </w:r>
    </w:p>
    <w:p>
      <w:pPr>
        <w:pStyle w:val="Compact"/>
        <w:numPr>
          <w:ilvl w:val="0"/>
          <w:numId w:val="1017"/>
        </w:numPr>
      </w:pPr>
      <w:r>
        <w:t xml:space="preserve">Convenciones de documentos definidas.</w:t>
      </w:r>
    </w:p>
    <w:p>
      <w:pPr>
        <w:pStyle w:val="Compact"/>
        <w:numPr>
          <w:ilvl w:val="0"/>
          <w:numId w:val="1017"/>
        </w:numPr>
      </w:pPr>
      <w:r>
        <w:t xml:space="preserve">Estrategia de auditoría establecida.</w:t>
      </w:r>
    </w:p>
    <w:p>
      <w:pPr>
        <w:pStyle w:val="Compact"/>
        <w:numPr>
          <w:ilvl w:val="0"/>
          <w:numId w:val="1017"/>
        </w:numPr>
      </w:pPr>
      <w:r>
        <w:t xml:space="preserve">Estrategia de rendimiento documentada.</w:t>
      </w:r>
    </w:p>
    <w:p>
      <w:pPr>
        <w:pStyle w:val="Compact"/>
        <w:numPr>
          <w:ilvl w:val="0"/>
          <w:numId w:val="1017"/>
        </w:numPr>
      </w:pPr>
      <w:r>
        <w:t xml:space="preserve">Estrategia de seguridad definida.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8"/>
        </w:numPr>
      </w:pPr>
      <w:r>
        <w:t xml:space="preserve">A001_SYSTEM_ARCHITECTURE.md</w:t>
      </w:r>
    </w:p>
    <w:p>
      <w:pPr>
        <w:pStyle w:val="Compact"/>
        <w:numPr>
          <w:ilvl w:val="0"/>
          <w:numId w:val="1018"/>
        </w:numPr>
      </w:pPr>
      <w:r>
        <w:t xml:space="preserve">A002_FRONTEND_ARCHITECTURE.md</w:t>
      </w:r>
    </w:p>
    <w:p>
      <w:pPr>
        <w:pStyle w:val="Compact"/>
        <w:numPr>
          <w:ilvl w:val="0"/>
          <w:numId w:val="1018"/>
        </w:numPr>
      </w:pPr>
      <w:r>
        <w:t xml:space="preserve">A003_UI_COMPONENT_ARCHITECTURE.md</w:t>
      </w:r>
    </w:p>
    <w:p>
      <w:pPr>
        <w:pStyle w:val="Compact"/>
        <w:numPr>
          <w:ilvl w:val="0"/>
          <w:numId w:val="1018"/>
        </w:numPr>
      </w:pPr>
      <w:r>
        <w:t xml:space="preserve">SOFTWARE_DEVELOPMENT_WORKFLOW.md</w:t>
      </w:r>
    </w:p>
    <w:p>
      <w:pPr>
        <w:pStyle w:val="Compact"/>
        <w:numPr>
          <w:ilvl w:val="0"/>
          <w:numId w:val="1018"/>
        </w:numPr>
      </w:pPr>
      <w:r>
        <w:t xml:space="preserve">MASTER_DEVELOPMENT_ROADMAP.md</w:t>
      </w:r>
    </w:p>
    <w:p>
      <w:r>
        <w:pict>
          <v:rect style="width:0;height:1.5pt" o:hralign="center" o:hrstd="t" o:hr="t"/>
        </w:pict>
      </w:r>
    </w:p>
    <w:bookmarkEnd w:id="44"/>
    <w:bookmarkStart w:id="45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Firestore para la plataforma.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2026-06-30T16:45:00Z</dcterms:created>
  <dcterms:modified xsi:type="dcterms:W3CDTF">2026-06-30T16:45:00Z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