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Xb9023b298ac4bccf5150c2cdc58f25b2d49667c"/>
    <w:p>
      <w:pPr>
        <w:pStyle w:val="Heading1"/>
      </w:pPr>
      <w:r>
        <w:t xml:space="preserve">DB002 — FIRESTORE NAMING &amp; DOCUMENT STANDARDS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los estándares oficiales para el diseño de colecciones y documentos en Firestore.</w:t>
      </w:r>
    </w:p>
    <w:p>
      <w:pPr>
        <w:pStyle w:val="BodyText"/>
      </w:pPr>
      <w:r>
        <w:t xml:space="preserve">Este documento garantiza consistencia, mantenibilidad y escalabilidad en toda la base de datos.</w:t>
      </w:r>
    </w:p>
    <w:p>
      <w:pPr>
        <w:pStyle w:val="BodyText"/>
      </w:pPr>
      <w:r>
        <w:t xml:space="preserve">Ninguna colección podrá implementarse sin cumplir estas normas.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Aplica a:</w:t>
      </w:r>
    </w:p>
    <w:p>
      <w:pPr>
        <w:pStyle w:val="Compact"/>
        <w:numPr>
          <w:ilvl w:val="0"/>
          <w:numId w:val="1001"/>
        </w:numPr>
      </w:pPr>
      <w:r>
        <w:t xml:space="preserve">Firestore</w:t>
      </w:r>
    </w:p>
    <w:p>
      <w:pPr>
        <w:pStyle w:val="Compact"/>
        <w:numPr>
          <w:ilvl w:val="0"/>
          <w:numId w:val="1001"/>
        </w:numPr>
      </w:pPr>
      <w:r>
        <w:t xml:space="preserve">Cloud Functions</w:t>
      </w:r>
    </w:p>
    <w:p>
      <w:pPr>
        <w:pStyle w:val="Compact"/>
        <w:numPr>
          <w:ilvl w:val="0"/>
          <w:numId w:val="1001"/>
        </w:numPr>
      </w:pPr>
      <w:r>
        <w:t xml:space="preserve">Security Rules</w:t>
      </w:r>
    </w:p>
    <w:p>
      <w:pPr>
        <w:pStyle w:val="Compact"/>
        <w:numPr>
          <w:ilvl w:val="0"/>
          <w:numId w:val="1001"/>
        </w:numPr>
      </w:pPr>
      <w:r>
        <w:t xml:space="preserve">Repositorios</w:t>
      </w:r>
    </w:p>
    <w:p>
      <w:pPr>
        <w:pStyle w:val="Compact"/>
        <w:numPr>
          <w:ilvl w:val="0"/>
          <w:numId w:val="1001"/>
        </w:numPr>
      </w:pPr>
      <w:r>
        <w:t xml:space="preserve">Casos de uso</w:t>
      </w:r>
    </w:p>
    <w:p>
      <w:pPr>
        <w:pStyle w:val="Compact"/>
        <w:numPr>
          <w:ilvl w:val="0"/>
          <w:numId w:val="1001"/>
        </w:numPr>
      </w:pPr>
      <w:r>
        <w:t xml:space="preserve">Servicios Backend</w:t>
      </w:r>
    </w:p>
    <w:p>
      <w:pPr>
        <w:pStyle w:val="Compact"/>
        <w:numPr>
          <w:ilvl w:val="0"/>
          <w:numId w:val="1001"/>
        </w:numPr>
      </w:pPr>
      <w:r>
        <w:t xml:space="preserve">Integraciones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Toda colección deberá cumplir:</w:t>
      </w:r>
    </w:p>
    <w:p>
      <w:pPr>
        <w:pStyle w:val="Compact"/>
        <w:numPr>
          <w:ilvl w:val="0"/>
          <w:numId w:val="1002"/>
        </w:numPr>
      </w:pPr>
      <w:r>
        <w:t xml:space="preserve">Consistencia.</w:t>
      </w:r>
    </w:p>
    <w:p>
      <w:pPr>
        <w:pStyle w:val="Compact"/>
        <w:numPr>
          <w:ilvl w:val="0"/>
          <w:numId w:val="1002"/>
        </w:numPr>
      </w:pPr>
      <w:r>
        <w:t xml:space="preserve">Simplicidad.</w:t>
      </w:r>
    </w:p>
    <w:p>
      <w:pPr>
        <w:pStyle w:val="Compact"/>
        <w:numPr>
          <w:ilvl w:val="0"/>
          <w:numId w:val="1002"/>
        </w:numPr>
      </w:pPr>
      <w:r>
        <w:t xml:space="preserve">Escalabilidad.</w:t>
      </w:r>
    </w:p>
    <w:p>
      <w:pPr>
        <w:pStyle w:val="Compact"/>
        <w:numPr>
          <w:ilvl w:val="0"/>
          <w:numId w:val="1002"/>
        </w:numPr>
      </w:pPr>
      <w:r>
        <w:t xml:space="preserve">Bajo costo.</w:t>
      </w:r>
    </w:p>
    <w:p>
      <w:pPr>
        <w:pStyle w:val="Compact"/>
        <w:numPr>
          <w:ilvl w:val="0"/>
          <w:numId w:val="1002"/>
        </w:numPr>
      </w:pPr>
      <w:r>
        <w:t xml:space="preserve">Seguridad.</w:t>
      </w:r>
    </w:p>
    <w:p>
      <w:pPr>
        <w:pStyle w:val="Compact"/>
        <w:numPr>
          <w:ilvl w:val="0"/>
          <w:numId w:val="1002"/>
        </w:numPr>
      </w:pPr>
      <w:r>
        <w:t xml:space="preserve">Auditoría.</w:t>
      </w:r>
    </w:p>
    <w:p>
      <w:pPr>
        <w:pStyle w:val="Compact"/>
        <w:numPr>
          <w:ilvl w:val="0"/>
          <w:numId w:val="1002"/>
        </w:numPr>
      </w:pPr>
      <w:r>
        <w:t xml:space="preserve">Independencia del Frontend.</w:t>
      </w:r>
    </w:p>
    <w:p>
      <w:r>
        <w:pict>
          <v:rect style="width:0;height:1.5pt" o:hralign="center" o:hrstd="t" o:hr="t"/>
        </w:pict>
      </w:r>
    </w:p>
    <w:bookmarkEnd w:id="24"/>
    <w:bookmarkStart w:id="27" w:name="convenciones-de-nombres"/>
    <w:p>
      <w:pPr>
        <w:pStyle w:val="Heading1"/>
      </w:pPr>
      <w:r>
        <w:t xml:space="preserve">Convenciones de Nombres</w:t>
      </w:r>
    </w:p>
    <w:bookmarkStart w:id="25" w:name="colecciones"/>
    <w:p>
      <w:pPr>
        <w:pStyle w:val="Heading2"/>
      </w:pPr>
      <w:r>
        <w:t xml:space="preserve">Colecciones</w:t>
      </w:r>
    </w:p>
    <w:p>
      <w:pPr>
        <w:pStyle w:val="FirstParagraph"/>
      </w:pPr>
      <w:r>
        <w:t xml:space="preserve">Siempre:</w:t>
      </w:r>
    </w:p>
    <w:p>
      <w:pPr>
        <w:pStyle w:val="Compact"/>
        <w:numPr>
          <w:ilvl w:val="0"/>
          <w:numId w:val="1003"/>
        </w:numPr>
      </w:pPr>
      <w:r>
        <w:t xml:space="preserve">plural</w:t>
      </w:r>
    </w:p>
    <w:p>
      <w:pPr>
        <w:pStyle w:val="Compact"/>
        <w:numPr>
          <w:ilvl w:val="0"/>
          <w:numId w:val="1003"/>
        </w:numPr>
      </w:pPr>
      <w:r>
        <w:t xml:space="preserve">minúsculas</w:t>
      </w:r>
    </w:p>
    <w:p>
      <w:pPr>
        <w:pStyle w:val="Compact"/>
        <w:numPr>
          <w:ilvl w:val="0"/>
          <w:numId w:val="1003"/>
        </w:numPr>
      </w:pPr>
      <w:r>
        <w:t xml:space="preserve">inglés</w:t>
      </w:r>
    </w:p>
    <w:p>
      <w:pPr>
        <w:pStyle w:val="Compact"/>
        <w:numPr>
          <w:ilvl w:val="0"/>
          <w:numId w:val="1003"/>
        </w:numPr>
      </w:pPr>
      <w:r>
        <w:t xml:space="preserve">snake_case únicamente cuando sea necesario</w:t>
      </w:r>
    </w:p>
    <w:p>
      <w:pPr>
        <w:pStyle w:val="FirstParagraph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customers</w:t>
      </w:r>
      <w:r>
        <w:br/>
      </w:r>
      <w:r>
        <w:rPr>
          <w:rStyle w:val="VerbatimChar"/>
        </w:rPr>
        <w:t xml:space="preserve">appointments</w:t>
      </w:r>
      <w:r>
        <w:br/>
      </w: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orders</w:t>
      </w:r>
      <w:r>
        <w:br/>
      </w:r>
      <w:r>
        <w:rPr>
          <w:rStyle w:val="VerbatimChar"/>
        </w:rPr>
        <w:t xml:space="preserve">categories</w:t>
      </w:r>
      <w:r>
        <w:br/>
      </w:r>
      <w:r>
        <w:rPr>
          <w:rStyle w:val="VerbatimChar"/>
        </w:rPr>
        <w:t xml:space="preserve">specialists</w:t>
      </w:r>
    </w:p>
    <w:p>
      <w:pPr>
        <w:pStyle w:val="FirstParagraph"/>
      </w:pPr>
      <w:r>
        <w:t xml:space="preserve">No utilizar: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Customer</w:t>
      </w:r>
      <w:r>
        <w:br/>
      </w:r>
      <w:r>
        <w:rPr>
          <w:rStyle w:val="VerbatimChar"/>
        </w:rPr>
        <w:t xml:space="preserve">ListaClientes</w:t>
      </w:r>
      <w:r>
        <w:br/>
      </w:r>
      <w:r>
        <w:rPr>
          <w:rStyle w:val="VerbatimChar"/>
        </w:rPr>
        <w:t xml:space="preserve">Productos</w:t>
      </w:r>
    </w:p>
    <w:p>
      <w:r>
        <w:pict>
          <v:rect style="width:0;height:1.5pt" o:hralign="center" o:hrstd="t" o:hr="t"/>
        </w:pict>
      </w:r>
    </w:p>
    <w:bookmarkEnd w:id="25"/>
    <w:bookmarkStart w:id="26" w:name="documentos"/>
    <w:p>
      <w:pPr>
        <w:pStyle w:val="Heading2"/>
      </w:pPr>
      <w:r>
        <w:t xml:space="preserve">Documentos</w:t>
      </w:r>
    </w:p>
    <w:p>
      <w:pPr>
        <w:pStyle w:val="FirstParagraph"/>
      </w:pPr>
      <w:r>
        <w:t xml:space="preserve">Utilizar IDs automáticos de Firestore.</w:t>
      </w:r>
    </w:p>
    <w:p>
      <w:pPr>
        <w:pStyle w:val="BodyText"/>
      </w:pPr>
      <w:r>
        <w:t xml:space="preserve">No emplear nombres descriptivos como identificadores principales.</w:t>
      </w:r>
    </w:p>
    <w:p>
      <w:pPr>
        <w:pStyle w:val="BodyText"/>
      </w:pPr>
      <w:r>
        <w:t xml:space="preserve">Incorrecto:</w:t>
      </w:r>
    </w:p>
    <w:p>
      <w:pPr>
        <w:pStyle w:val="SourceCode"/>
      </w:pPr>
      <w:r>
        <w:rPr>
          <w:rStyle w:val="VerbatimChar"/>
        </w:rPr>
        <w:t xml:space="preserve">product-cream-01</w:t>
      </w:r>
    </w:p>
    <w:p>
      <w:pPr>
        <w:pStyle w:val="FirstParagraph"/>
      </w:pPr>
      <w:r>
        <w:t xml:space="preserve">Correcto:</w:t>
      </w:r>
    </w:p>
    <w:p>
      <w:pPr>
        <w:pStyle w:val="SourceCode"/>
      </w:pPr>
      <w:r>
        <w:rPr>
          <w:rStyle w:val="VerbatimChar"/>
        </w:rPr>
        <w:t xml:space="preserve">8fK2pQvYxM...</w:t>
      </w:r>
    </w:p>
    <w:p>
      <w:pPr>
        <w:pStyle w:val="FirstParagraph"/>
      </w:pPr>
      <w:r>
        <w:t xml:space="preserve">Los códigos visibles para el usuario deberán almacenarse como atributos independientes.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onvenciones-de-campos"/>
    <w:p>
      <w:pPr>
        <w:pStyle w:val="Heading1"/>
      </w:pPr>
      <w:r>
        <w:t xml:space="preserve">Convenciones de Campos</w:t>
      </w:r>
    </w:p>
    <w:p>
      <w:pPr>
        <w:pStyle w:val="FirstParagraph"/>
      </w:pPr>
      <w:r>
        <w:t xml:space="preserve">Todos los campos utilizarán</w:t>
      </w:r>
      <w:r>
        <w:t xml:space="preserve"> </w:t>
      </w:r>
      <w:r>
        <w:rPr>
          <w:rStyle w:val="VerbatimChar"/>
        </w:rPr>
        <w:t xml:space="preserve">camelCase</w:t>
      </w:r>
      <w:r>
        <w:t xml:space="preserve">.</w:t>
      </w:r>
    </w:p>
    <w:p>
      <w:pPr>
        <w:pStyle w:val="BodyText"/>
      </w:pPr>
      <w:r>
        <w:t xml:space="preserve">Correcto:</w:t>
      </w:r>
    </w:p>
    <w:p>
      <w:pPr>
        <w:pStyle w:val="SourceCode"/>
      </w:pPr>
      <w:r>
        <w:rPr>
          <w:rStyle w:val="VerbatimChar"/>
        </w:rPr>
        <w:t xml:space="preserve">createdAt</w:t>
      </w:r>
      <w:r>
        <w:br/>
      </w:r>
      <w:r>
        <w:rPr>
          <w:rStyle w:val="VerbatimChar"/>
        </w:rPr>
        <w:t xml:space="preserve">updatedAt</w:t>
      </w:r>
      <w:r>
        <w:br/>
      </w:r>
      <w:r>
        <w:rPr>
          <w:rStyle w:val="VerbatimChar"/>
        </w:rPr>
        <w:t xml:space="preserve">firstName</w:t>
      </w:r>
      <w:r>
        <w:br/>
      </w:r>
      <w:r>
        <w:rPr>
          <w:rStyle w:val="VerbatimChar"/>
        </w:rPr>
        <w:t xml:space="preserve">lastName</w:t>
      </w:r>
      <w:r>
        <w:br/>
      </w:r>
      <w:r>
        <w:rPr>
          <w:rStyle w:val="VerbatimChar"/>
        </w:rPr>
        <w:t xml:space="preserve">profileImage</w:t>
      </w:r>
      <w:r>
        <w:br/>
      </w:r>
      <w:r>
        <w:rPr>
          <w:rStyle w:val="VerbatimChar"/>
        </w:rPr>
        <w:t xml:space="preserve">phoneNumber</w:t>
      </w:r>
    </w:p>
    <w:p>
      <w:pPr>
        <w:pStyle w:val="FirstParagraph"/>
      </w:pPr>
      <w:r>
        <w:t xml:space="preserve">Incorrecto:</w:t>
      </w:r>
    </w:p>
    <w:p>
      <w:pPr>
        <w:pStyle w:val="SourceCode"/>
      </w:pP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CreatedAt</w:t>
      </w:r>
      <w:r>
        <w:br/>
      </w:r>
      <w:r>
        <w:rPr>
          <w:rStyle w:val="VerbatimChar"/>
        </w:rPr>
        <w:t xml:space="preserve">First_Name</w:t>
      </w:r>
    </w:p>
    <w:p>
      <w:r>
        <w:pict>
          <v:rect style="width:0;height:1.5pt" o:hralign="center" o:hrstd="t" o:hr="t"/>
        </w:pict>
      </w:r>
    </w:p>
    <w:bookmarkEnd w:id="28"/>
    <w:bookmarkStart w:id="29" w:name="campos-obligatorios"/>
    <w:p>
      <w:pPr>
        <w:pStyle w:val="Heading1"/>
      </w:pPr>
      <w:r>
        <w:t xml:space="preserve">Campos Obligatorios</w:t>
      </w:r>
    </w:p>
    <w:p>
      <w:pPr>
        <w:pStyle w:val="FirstParagraph"/>
      </w:pPr>
      <w:r>
        <w:t xml:space="preserve">Toda entidad persistente incluirá como mínimo: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createdAt</w:t>
      </w:r>
      <w:r>
        <w:br/>
      </w:r>
      <w:r>
        <w:rPr>
          <w:rStyle w:val="VerbatimChar"/>
        </w:rPr>
        <w:t xml:space="preserve">createdBy</w:t>
      </w:r>
      <w:r>
        <w:br/>
      </w:r>
      <w:r>
        <w:rPr>
          <w:rStyle w:val="VerbatimChar"/>
        </w:rPr>
        <w:t xml:space="preserve">updatedAt</w:t>
      </w:r>
      <w:r>
        <w:br/>
      </w:r>
      <w:r>
        <w:rPr>
          <w:rStyle w:val="VerbatimChar"/>
        </w:rPr>
        <w:t xml:space="preserve">updatedBy</w:t>
      </w:r>
    </w:p>
    <w:p>
      <w:pPr>
        <w:pStyle w:val="FirstParagraph"/>
      </w:pPr>
      <w:r>
        <w:t xml:space="preserve">Cuando aplique:</w:t>
      </w:r>
    </w:p>
    <w:p>
      <w:pPr>
        <w:pStyle w:val="SourceCode"/>
      </w:pPr>
      <w:r>
        <w:rPr>
          <w:rStyle w:val="VerbatimChar"/>
        </w:rPr>
        <w:t xml:space="preserve">deletedAt</w:t>
      </w:r>
      <w:r>
        <w:br/>
      </w:r>
      <w:r>
        <w:rPr>
          <w:rStyle w:val="VerbatimChar"/>
        </w:rPr>
        <w:t xml:space="preserve">deletedBy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organizationId</w:t>
      </w:r>
    </w:p>
    <w:p>
      <w:r>
        <w:pict>
          <v:rect style="width:0;height:1.5pt" o:hralign="center" o:hrstd="t" o:hr="t"/>
        </w:pict>
      </w:r>
    </w:p>
    <w:bookmarkEnd w:id="29"/>
    <w:bookmarkStart w:id="30" w:name="fechas"/>
    <w:p>
      <w:pPr>
        <w:pStyle w:val="Heading1"/>
      </w:pPr>
      <w:r>
        <w:t xml:space="preserve">Fechas</w:t>
      </w:r>
    </w:p>
    <w:p>
      <w:pPr>
        <w:pStyle w:val="FirstParagraph"/>
      </w:pPr>
      <w:r>
        <w:t xml:space="preserve">Todas las fechas se almacenarán como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de Firestore.</w:t>
      </w:r>
    </w:p>
    <w:p>
      <w:pPr>
        <w:pStyle w:val="BodyText"/>
      </w:pPr>
      <w:r>
        <w:t xml:space="preserve">No utilizar:</w:t>
      </w:r>
    </w:p>
    <w:p>
      <w:pPr>
        <w:pStyle w:val="Compact"/>
        <w:numPr>
          <w:ilvl w:val="0"/>
          <w:numId w:val="1004"/>
        </w:numPr>
      </w:pPr>
      <w:r>
        <w:t xml:space="preserve">cadenas de texto</w:t>
      </w:r>
    </w:p>
    <w:p>
      <w:pPr>
        <w:pStyle w:val="Compact"/>
        <w:numPr>
          <w:ilvl w:val="0"/>
          <w:numId w:val="1004"/>
        </w:numPr>
      </w:pPr>
      <w:r>
        <w:t xml:space="preserve">formatos regionales</w:t>
      </w:r>
    </w:p>
    <w:p>
      <w:pPr>
        <w:pStyle w:val="Compact"/>
        <w:numPr>
          <w:ilvl w:val="0"/>
          <w:numId w:val="1004"/>
        </w:numPr>
      </w:pPr>
      <w:r>
        <w:t xml:space="preserve">fechas serializadas manualmente</w:t>
      </w:r>
    </w:p>
    <w:p>
      <w:r>
        <w:pict>
          <v:rect style="width:0;height:1.5pt" o:hralign="center" o:hrstd="t" o:hr="t"/>
        </w:pict>
      </w:r>
    </w:p>
    <w:bookmarkEnd w:id="30"/>
    <w:bookmarkStart w:id="31" w:name="estados"/>
    <w:p>
      <w:pPr>
        <w:pStyle w:val="Heading1"/>
      </w:pPr>
      <w:r>
        <w:t xml:space="preserve">Estados</w:t>
      </w:r>
    </w:p>
    <w:p>
      <w:pPr>
        <w:pStyle w:val="FirstParagraph"/>
      </w:pPr>
      <w:r>
        <w:t xml:space="preserve">No utilizar valores libres.</w:t>
      </w:r>
    </w:p>
    <w:p>
      <w:pPr>
        <w:pStyle w:val="BodyText"/>
      </w:pPr>
      <w:r>
        <w:t xml:space="preserve">Cada entidad definirá un conjunto limitado de estados.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INACTIVE</w:t>
      </w:r>
      <w:r>
        <w:br/>
      </w:r>
      <w:r>
        <w:rPr>
          <w:rStyle w:val="VerbatimChar"/>
        </w:rPr>
        <w:t xml:space="preserve">ARCHIVED</w:t>
      </w:r>
    </w:p>
    <w:p>
      <w:pPr>
        <w:pStyle w:val="FirstParagraph"/>
      </w:pPr>
      <w:r>
        <w:t xml:space="preserve">La documentación de cada módulo especificará los estados permitidos.</w:t>
      </w:r>
    </w:p>
    <w:p>
      <w:r>
        <w:pict>
          <v:rect style="width:0;height:1.5pt" o:hralign="center" o:hrstd="t" o:hr="t"/>
        </w:pict>
      </w:r>
    </w:p>
    <w:bookmarkEnd w:id="31"/>
    <w:bookmarkStart w:id="32" w:name="eliminación"/>
    <w:p>
      <w:pPr>
        <w:pStyle w:val="Heading1"/>
      </w:pPr>
      <w:r>
        <w:t xml:space="preserve">Eliminación</w:t>
      </w:r>
    </w:p>
    <w:p>
      <w:pPr>
        <w:pStyle w:val="FirstParagraph"/>
      </w:pPr>
      <w:r>
        <w:t xml:space="preserve">Por defecto se favorecerá la eliminación lógica cuando exista valor en conservar el historial.</w:t>
      </w:r>
    </w:p>
    <w:p>
      <w:pPr>
        <w:pStyle w:val="BodyText"/>
      </w:pPr>
      <w:r>
        <w:t xml:space="preserve">Campos recomendados:</w:t>
      </w:r>
    </w:p>
    <w:p>
      <w:pPr>
        <w:pStyle w:val="SourceCode"/>
      </w:pPr>
      <w:r>
        <w:rPr>
          <w:rStyle w:val="VerbatimChar"/>
        </w:rPr>
        <w:t xml:space="preserve">deletedAt</w:t>
      </w:r>
      <w:r>
        <w:br/>
      </w:r>
      <w:r>
        <w:rPr>
          <w:rStyle w:val="VerbatimChar"/>
        </w:rPr>
        <w:t xml:space="preserve">deletedBy</w:t>
      </w:r>
    </w:p>
    <w:p>
      <w:pPr>
        <w:pStyle w:val="FirstParagraph"/>
      </w:pPr>
      <w:r>
        <w:t xml:space="preserve">La eliminación física se reservará para casos específicos, documentados y controlados.</w:t>
      </w:r>
    </w:p>
    <w:p>
      <w:r>
        <w:pict>
          <v:rect style="width:0;height:1.5pt" o:hralign="center" o:hrstd="t" o:hr="t"/>
        </w:pict>
      </w:r>
    </w:p>
    <w:bookmarkEnd w:id="32"/>
    <w:bookmarkStart w:id="33" w:name="versionado"/>
    <w:p>
      <w:pPr>
        <w:pStyle w:val="Heading1"/>
      </w:pPr>
      <w:r>
        <w:t xml:space="preserve">Versionado</w:t>
      </w:r>
    </w:p>
    <w:p>
      <w:pPr>
        <w:pStyle w:val="FirstParagraph"/>
      </w:pPr>
      <w:r>
        <w:t xml:space="preserve">Las entidades que puedan requerir seguimiento de cambios importantes podrán incorporar un campo:</w:t>
      </w:r>
    </w:p>
    <w:p>
      <w:pPr>
        <w:pStyle w:val="SourceCode"/>
      </w:pPr>
      <w:r>
        <w:rPr>
          <w:rStyle w:val="VerbatimChar"/>
        </w:rPr>
        <w:t xml:space="preserve">version</w:t>
      </w:r>
    </w:p>
    <w:p>
      <w:pPr>
        <w:pStyle w:val="FirstParagraph"/>
      </w:pPr>
      <w:r>
        <w:t xml:space="preserve">Su uso será documentado por cada dominio cuando sea necesario.</w:t>
      </w:r>
    </w:p>
    <w:p>
      <w:r>
        <w:pict>
          <v:rect style="width:0;height:1.5pt" o:hralign="center" o:hrstd="t" o:hr="t"/>
        </w:pict>
      </w:r>
    </w:p>
    <w:bookmarkEnd w:id="33"/>
    <w:bookmarkStart w:id="34" w:name="relaciones"/>
    <w:p>
      <w:pPr>
        <w:pStyle w:val="Heading1"/>
      </w:pPr>
      <w:r>
        <w:t xml:space="preserve">Relaciones</w:t>
      </w:r>
    </w:p>
    <w:p>
      <w:pPr>
        <w:pStyle w:val="FirstParagraph"/>
      </w:pPr>
      <w:r>
        <w:t xml:space="preserve">Las relaciones se representarán mediante identificadores.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customerId</w:t>
      </w:r>
      <w:r>
        <w:br/>
      </w:r>
      <w:r>
        <w:rPr>
          <w:rStyle w:val="VerbatimChar"/>
        </w:rPr>
        <w:t xml:space="preserve">specialistId</w:t>
      </w:r>
      <w:r>
        <w:br/>
      </w:r>
      <w:r>
        <w:rPr>
          <w:rStyle w:val="VerbatimChar"/>
        </w:rPr>
        <w:t xml:space="preserve">appointmentId</w:t>
      </w:r>
      <w:r>
        <w:br/>
      </w:r>
      <w:r>
        <w:rPr>
          <w:rStyle w:val="VerbatimChar"/>
        </w:rPr>
        <w:t xml:space="preserve">productId</w:t>
      </w:r>
    </w:p>
    <w:p>
      <w:pPr>
        <w:pStyle w:val="FirstParagraph"/>
      </w:pPr>
      <w:r>
        <w:t xml:space="preserve">No se almacenarán objetos completos salvo que exista una justificación de rendimiento o de preservación histórica.</w:t>
      </w:r>
    </w:p>
    <w:p>
      <w:r>
        <w:pict>
          <v:rect style="width:0;height:1.5pt" o:hralign="center" o:hrstd="t" o:hr="t"/>
        </w:pict>
      </w:r>
    </w:p>
    <w:bookmarkEnd w:id="34"/>
    <w:bookmarkStart w:id="35" w:name="datos-duplicados"/>
    <w:p>
      <w:pPr>
        <w:pStyle w:val="Heading1"/>
      </w:pPr>
      <w:r>
        <w:t xml:space="preserve">Datos Duplicados</w:t>
      </w:r>
    </w:p>
    <w:p>
      <w:pPr>
        <w:pStyle w:val="FirstParagraph"/>
      </w:pPr>
      <w:r>
        <w:t xml:space="preserve">Solo se duplicará información cuando:</w:t>
      </w:r>
    </w:p>
    <w:p>
      <w:pPr>
        <w:pStyle w:val="Compact"/>
        <w:numPr>
          <w:ilvl w:val="0"/>
          <w:numId w:val="1005"/>
        </w:numPr>
      </w:pPr>
      <w:r>
        <w:t xml:space="preserve">reduzca lecturas,</w:t>
      </w:r>
    </w:p>
    <w:p>
      <w:pPr>
        <w:pStyle w:val="Compact"/>
        <w:numPr>
          <w:ilvl w:val="0"/>
          <w:numId w:val="1005"/>
        </w:numPr>
      </w:pPr>
      <w:r>
        <w:t xml:space="preserve">preserve el estado histórico,</w:t>
      </w:r>
    </w:p>
    <w:p>
      <w:pPr>
        <w:pStyle w:val="Compact"/>
        <w:numPr>
          <w:ilvl w:val="0"/>
          <w:numId w:val="1005"/>
        </w:numPr>
      </w:pPr>
      <w:r>
        <w:t xml:space="preserve">o mejore el rendimiento de consultas frecuentes.</w:t>
      </w:r>
    </w:p>
    <w:p>
      <w:pPr>
        <w:pStyle w:val="FirstParagraph"/>
      </w:pPr>
      <w:r>
        <w:t xml:space="preserve">Toda duplicación deberá justificarse en la documentación del dominio correspondiente.</w:t>
      </w:r>
    </w:p>
    <w:p>
      <w:r>
        <w:pict>
          <v:rect style="width:0;height:1.5pt" o:hralign="center" o:hrstd="t" o:hr="t"/>
        </w:pict>
      </w:r>
    </w:p>
    <w:bookmarkEnd w:id="35"/>
    <w:bookmarkStart w:id="36" w:name="auditoría"/>
    <w:p>
      <w:pPr>
        <w:pStyle w:val="Heading1"/>
      </w:pPr>
      <w:r>
        <w:t xml:space="preserve">Auditoría</w:t>
      </w:r>
    </w:p>
    <w:p>
      <w:pPr>
        <w:pStyle w:val="FirstParagraph"/>
      </w:pPr>
      <w:r>
        <w:t xml:space="preserve">Las operaciones relevantes deberán registrar:</w:t>
      </w:r>
    </w:p>
    <w:p>
      <w:pPr>
        <w:pStyle w:val="Compact"/>
        <w:numPr>
          <w:ilvl w:val="0"/>
          <w:numId w:val="1006"/>
        </w:numPr>
      </w:pPr>
      <w:r>
        <w:t xml:space="preserve">usuario responsable,</w:t>
      </w:r>
    </w:p>
    <w:p>
      <w:pPr>
        <w:pStyle w:val="Compact"/>
        <w:numPr>
          <w:ilvl w:val="0"/>
          <w:numId w:val="1006"/>
        </w:numPr>
      </w:pPr>
      <w:r>
        <w:t xml:space="preserve">fecha,</w:t>
      </w:r>
    </w:p>
    <w:p>
      <w:pPr>
        <w:pStyle w:val="Compact"/>
        <w:numPr>
          <w:ilvl w:val="0"/>
          <w:numId w:val="1006"/>
        </w:numPr>
      </w:pPr>
      <w:r>
        <w:t xml:space="preserve">acción realizada,</w:t>
      </w:r>
    </w:p>
    <w:p>
      <w:pPr>
        <w:pStyle w:val="Compact"/>
        <w:numPr>
          <w:ilvl w:val="0"/>
          <w:numId w:val="1006"/>
        </w:numPr>
      </w:pPr>
      <w:r>
        <w:t xml:space="preserve">entidad afectada.</w:t>
      </w:r>
    </w:p>
    <w:p>
      <w:pPr>
        <w:pStyle w:val="FirstParagraph"/>
      </w:pPr>
      <w:r>
        <w:t xml:space="preserve">Cuando el historial sea crítico, se utilizarán colecciones específicas de auditoría.</w:t>
      </w:r>
    </w:p>
    <w:p>
      <w:r>
        <w:pict>
          <v:rect style="width:0;height:1.5pt" o:hralign="center" o:hrstd="t" o:hr="t"/>
        </w:pict>
      </w:r>
    </w:p>
    <w:bookmarkEnd w:id="36"/>
    <w:bookmarkStart w:id="37" w:name="índices"/>
    <w:p>
      <w:pPr>
        <w:pStyle w:val="Heading1"/>
      </w:pPr>
      <w:r>
        <w:t xml:space="preserve">Índices</w:t>
      </w:r>
    </w:p>
    <w:p>
      <w:pPr>
        <w:pStyle w:val="FirstParagraph"/>
      </w:pPr>
      <w:r>
        <w:t xml:space="preserve">Todo índice deberá documentarse antes de implementarse.</w:t>
      </w:r>
    </w:p>
    <w:p>
      <w:pPr>
        <w:pStyle w:val="BodyText"/>
      </w:pPr>
      <w:r>
        <w:t xml:space="preserve">No se crearán índices de manera reactiva sin una justificación.</w:t>
      </w:r>
    </w:p>
    <w:p>
      <w:pPr>
        <w:pStyle w:val="BodyText"/>
      </w:pPr>
      <w:r>
        <w:t xml:space="preserve">Cada módulo mantendrá un inventario de los índices que requiere.</w:t>
      </w:r>
    </w:p>
    <w:p>
      <w:r>
        <w:pict>
          <v:rect style="width:0;height:1.5pt" o:hralign="center" o:hrstd="t" o:hr="t"/>
        </w:pict>
      </w:r>
    </w:p>
    <w:bookmarkEnd w:id="37"/>
    <w:bookmarkStart w:id="38" w:name="seguridad"/>
    <w:p>
      <w:pPr>
        <w:pStyle w:val="Heading1"/>
      </w:pPr>
      <w:r>
        <w:t xml:space="preserve">Seguridad</w:t>
      </w:r>
    </w:p>
    <w:p>
      <w:pPr>
        <w:pStyle w:val="FirstParagraph"/>
      </w:pPr>
      <w:r>
        <w:t xml:space="preserve">Las reglas de Firestore deberán diseñarse considerando:</w:t>
      </w:r>
    </w:p>
    <w:p>
      <w:pPr>
        <w:pStyle w:val="Compact"/>
        <w:numPr>
          <w:ilvl w:val="0"/>
          <w:numId w:val="1007"/>
        </w:numPr>
      </w:pPr>
      <w:r>
        <w:t xml:space="preserve">organización propietaria,</w:t>
      </w:r>
    </w:p>
    <w:p>
      <w:pPr>
        <w:pStyle w:val="Compact"/>
        <w:numPr>
          <w:ilvl w:val="0"/>
          <w:numId w:val="1007"/>
        </w:numPr>
      </w:pPr>
      <w:r>
        <w:t xml:space="preserve">rol del usuario,</w:t>
      </w:r>
    </w:p>
    <w:p>
      <w:pPr>
        <w:pStyle w:val="Compact"/>
        <w:numPr>
          <w:ilvl w:val="0"/>
          <w:numId w:val="1007"/>
        </w:numPr>
      </w:pPr>
      <w:r>
        <w:t xml:space="preserve">permisos,</w:t>
      </w:r>
    </w:p>
    <w:p>
      <w:pPr>
        <w:pStyle w:val="Compact"/>
        <w:numPr>
          <w:ilvl w:val="0"/>
          <w:numId w:val="1007"/>
        </w:numPr>
      </w:pPr>
      <w:r>
        <w:t xml:space="preserve">operación (lectura, escritura, actualización o eliminación).</w:t>
      </w:r>
    </w:p>
    <w:p>
      <w:pPr>
        <w:pStyle w:val="FirstParagraph"/>
      </w:pPr>
      <w:r>
        <w:t xml:space="preserve">No se confiará exclusivamente en las validaciones del cliente.</w:t>
      </w:r>
    </w:p>
    <w:p>
      <w:r>
        <w:pict>
          <v:rect style="width:0;height:1.5pt" o:hralign="center" o:hrstd="t" o:hr="t"/>
        </w:pict>
      </w:r>
    </w:p>
    <w:bookmarkEnd w:id="38"/>
    <w:bookmarkStart w:id="39" w:name="reglas-de-diseño"/>
    <w:p>
      <w:pPr>
        <w:pStyle w:val="Heading1"/>
      </w:pPr>
      <w:r>
        <w:t xml:space="preserve">Reglas de Diseño</w:t>
      </w:r>
    </w:p>
    <w:p>
      <w:pPr>
        <w:pStyle w:val="FirstParagraph"/>
      </w:pPr>
      <w:r>
        <w:t xml:space="preserve">No se permite:</w:t>
      </w:r>
    </w:p>
    <w:p>
      <w:pPr>
        <w:pStyle w:val="Compact"/>
        <w:numPr>
          <w:ilvl w:val="0"/>
          <w:numId w:val="1008"/>
        </w:numPr>
      </w:pPr>
      <w:r>
        <w:t xml:space="preserve">documentos gigantes,</w:t>
      </w:r>
    </w:p>
    <w:p>
      <w:pPr>
        <w:pStyle w:val="Compact"/>
        <w:numPr>
          <w:ilvl w:val="0"/>
          <w:numId w:val="1008"/>
        </w:numPr>
      </w:pPr>
      <w:r>
        <w:t xml:space="preserve">estructuras profundamente anidadas,</w:t>
      </w:r>
    </w:p>
    <w:p>
      <w:pPr>
        <w:pStyle w:val="Compact"/>
        <w:numPr>
          <w:ilvl w:val="0"/>
          <w:numId w:val="1008"/>
        </w:numPr>
      </w:pPr>
      <w:r>
        <w:t xml:space="preserve">lógica de negocio en documentos,</w:t>
      </w:r>
    </w:p>
    <w:p>
      <w:pPr>
        <w:pStyle w:val="Compact"/>
        <w:numPr>
          <w:ilvl w:val="0"/>
          <w:numId w:val="1008"/>
        </w:numPr>
      </w:pPr>
      <w:r>
        <w:t xml:space="preserve">campos ambiguos,</w:t>
      </w:r>
    </w:p>
    <w:p>
      <w:pPr>
        <w:pStyle w:val="Compact"/>
        <w:numPr>
          <w:ilvl w:val="0"/>
          <w:numId w:val="1008"/>
        </w:numPr>
      </w:pPr>
      <w:r>
        <w:t xml:space="preserve">nombres inconsistentes.</w:t>
      </w:r>
    </w:p>
    <w:p>
      <w:pPr>
        <w:pStyle w:val="FirstParagraph"/>
      </w:pPr>
      <w:r>
        <w:t xml:space="preserve">Cada documento representará una única entidad claramente identificable.</w:t>
      </w:r>
    </w:p>
    <w:p>
      <w:r>
        <w:pict>
          <v:rect style="width:0;height:1.5pt" o:hralign="center" o:hrstd="t" o:hr="t"/>
        </w:pict>
      </w:r>
    </w:p>
    <w:bookmarkEnd w:id="39"/>
    <w:bookmarkStart w:id="40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09"/>
        </w:numPr>
      </w:pPr>
      <w:r>
        <w:t xml:space="preserve">Colecciones en plural.</w:t>
      </w:r>
    </w:p>
    <w:p>
      <w:pPr>
        <w:pStyle w:val="Compact"/>
        <w:numPr>
          <w:ilvl w:val="0"/>
          <w:numId w:val="1009"/>
        </w:numPr>
      </w:pPr>
      <w:r>
        <w:t xml:space="preserve">Campos en camelCase.</w:t>
      </w:r>
    </w:p>
    <w:p>
      <w:pPr>
        <w:pStyle w:val="Compact"/>
        <w:numPr>
          <w:ilvl w:val="0"/>
          <w:numId w:val="1009"/>
        </w:numPr>
      </w:pPr>
      <w:r>
        <w:t xml:space="preserve">IDs automáticos.</w:t>
      </w:r>
    </w:p>
    <w:p>
      <w:pPr>
        <w:pStyle w:val="Compact"/>
        <w:numPr>
          <w:ilvl w:val="0"/>
          <w:numId w:val="1009"/>
        </w:numPr>
      </w:pPr>
      <w:r>
        <w:t xml:space="preserve">Fechas como Timestamp.</w:t>
      </w:r>
    </w:p>
    <w:p>
      <w:pPr>
        <w:pStyle w:val="Compact"/>
        <w:numPr>
          <w:ilvl w:val="0"/>
          <w:numId w:val="1009"/>
        </w:numPr>
      </w:pPr>
      <w:r>
        <w:t xml:space="preserve">Campos de auditoría presentes.</w:t>
      </w:r>
    </w:p>
    <w:p>
      <w:pPr>
        <w:pStyle w:val="Compact"/>
        <w:numPr>
          <w:ilvl w:val="0"/>
          <w:numId w:val="1009"/>
        </w:numPr>
      </w:pPr>
      <w:r>
        <w:t xml:space="preserve">Estados definidos.</w:t>
      </w:r>
    </w:p>
    <w:p>
      <w:pPr>
        <w:pStyle w:val="Compact"/>
        <w:numPr>
          <w:ilvl w:val="0"/>
          <w:numId w:val="1009"/>
        </w:numPr>
      </w:pPr>
      <w:r>
        <w:t xml:space="preserve">Relaciones mediante IDs.</w:t>
      </w:r>
    </w:p>
    <w:p>
      <w:pPr>
        <w:pStyle w:val="Compact"/>
        <w:numPr>
          <w:ilvl w:val="0"/>
          <w:numId w:val="1009"/>
        </w:numPr>
      </w:pPr>
      <w:r>
        <w:t xml:space="preserve">Índices documentados.</w:t>
      </w:r>
    </w:p>
    <w:p>
      <w:pPr>
        <w:pStyle w:val="Compact"/>
        <w:numPr>
          <w:ilvl w:val="0"/>
          <w:numId w:val="1009"/>
        </w:numPr>
      </w:pPr>
      <w:r>
        <w:t xml:space="preserve">Seguridad considerada.</w:t>
      </w:r>
    </w:p>
    <w:p>
      <w:r>
        <w:pict>
          <v:rect style="width:0;height:1.5pt" o:hralign="center" o:hrstd="t" o:hr="t"/>
        </w:pict>
      </w:r>
    </w:p>
    <w:bookmarkEnd w:id="40"/>
    <w:bookmarkStart w:id="41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10"/>
        </w:numPr>
      </w:pPr>
      <w:r>
        <w:t xml:space="preserve">DB001_FIRESTORE_DATABASE_ARCHITECTURE.md</w:t>
      </w:r>
    </w:p>
    <w:p>
      <w:pPr>
        <w:pStyle w:val="Compact"/>
        <w:numPr>
          <w:ilvl w:val="0"/>
          <w:numId w:val="1010"/>
        </w:numPr>
      </w:pPr>
      <w:r>
        <w:t xml:space="preserve">A001_SYSTEM_ARCHITECTURE.md</w:t>
      </w:r>
    </w:p>
    <w:p>
      <w:pPr>
        <w:pStyle w:val="Compact"/>
        <w:numPr>
          <w:ilvl w:val="0"/>
          <w:numId w:val="1010"/>
        </w:numPr>
      </w:pPr>
      <w:r>
        <w:t xml:space="preserve">SOFTWARE_DEVELOPMENT_WORKFLOW.md</w:t>
      </w:r>
    </w:p>
    <w:p>
      <w:r>
        <w:pict>
          <v:rect style="width:0;height:1.5pt" o:hralign="center" o:hrstd="t" o:hr="t"/>
        </w:pict>
      </w:r>
    </w:p>
    <w:bookmarkEnd w:id="41"/>
    <w:bookmarkStart w:id="42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estándar oficial para Firestore.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2026-06-30T16:45:15Z</dcterms:created>
  <dcterms:modified xsi:type="dcterms:W3CDTF">2026-06-30T16:45:15Z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