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fb002-firestore-repository-pattern"/>
    <w:p>
      <w:pPr>
        <w:pStyle w:val="Heading1"/>
      </w:pPr>
      <w:r>
        <w:t xml:space="preserve">FB002 — FIRESTORE REPOSITORY PATTERN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patrón oficial de acceso a Firestore mediante repositorios.</w:t>
      </w:r>
    </w:p>
    <w:p>
      <w:pPr>
        <w:pStyle w:val="BodyText"/>
      </w:pPr>
      <w:r>
        <w:t xml:space="preserve">El propósito es desacoplar completamente el dominio del SDK de Firebase y centralizar toda la lógica de persistencia.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Firestore.</w:t>
      </w:r>
    </w:p>
    <w:p>
      <w:pPr>
        <w:pStyle w:val="Compact"/>
        <w:numPr>
          <w:ilvl w:val="0"/>
          <w:numId w:val="1001"/>
        </w:numPr>
      </w:pPr>
      <w:r>
        <w:t xml:space="preserve">Casos de uso.</w:t>
      </w:r>
    </w:p>
    <w:p>
      <w:pPr>
        <w:pStyle w:val="Compact"/>
        <w:numPr>
          <w:ilvl w:val="0"/>
          <w:numId w:val="1001"/>
        </w:numPr>
      </w:pPr>
      <w:r>
        <w:t xml:space="preserve">Cloud Functions.</w:t>
      </w:r>
    </w:p>
    <w:p>
      <w:pPr>
        <w:pStyle w:val="Compact"/>
        <w:numPr>
          <w:ilvl w:val="0"/>
          <w:numId w:val="1001"/>
        </w:numPr>
      </w:pPr>
      <w:r>
        <w:t xml:space="preserve">Adaptadores.</w:t>
      </w:r>
    </w:p>
    <w:p>
      <w:pPr>
        <w:pStyle w:val="Compact"/>
        <w:numPr>
          <w:ilvl w:val="0"/>
          <w:numId w:val="1001"/>
        </w:numPr>
      </w:pPr>
      <w:r>
        <w:t xml:space="preserve">Repositorios de infraestructura.</w:t>
      </w:r>
    </w:p>
    <w:p>
      <w:pPr>
        <w:pStyle w:val="FirstParagraph"/>
      </w:pPr>
      <w:r>
        <w:t xml:space="preserve">No aplica a componentes React ni a la lógica de presentación.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Todos los accesos a Firestore deberán cumplir:</w:t>
      </w:r>
    </w:p>
    <w:p>
      <w:pPr>
        <w:pStyle w:val="Compact"/>
        <w:numPr>
          <w:ilvl w:val="0"/>
          <w:numId w:val="1002"/>
        </w:numPr>
      </w:pPr>
      <w:r>
        <w:t xml:space="preserve">Inversión de dependencias.</w:t>
      </w:r>
    </w:p>
    <w:p>
      <w:pPr>
        <w:pStyle w:val="Compact"/>
        <w:numPr>
          <w:ilvl w:val="0"/>
          <w:numId w:val="1002"/>
        </w:numPr>
      </w:pPr>
      <w:r>
        <w:t xml:space="preserve">Repositorios por agregado de dominio.</w:t>
      </w:r>
    </w:p>
    <w:p>
      <w:pPr>
        <w:pStyle w:val="Compact"/>
        <w:numPr>
          <w:ilvl w:val="0"/>
          <w:numId w:val="1002"/>
        </w:numPr>
      </w:pPr>
      <w:r>
        <w:t xml:space="preserve">Tipado estricto.</w:t>
      </w:r>
    </w:p>
    <w:p>
      <w:pPr>
        <w:pStyle w:val="Compact"/>
        <w:numPr>
          <w:ilvl w:val="0"/>
          <w:numId w:val="1002"/>
        </w:numPr>
      </w:pPr>
      <w:r>
        <w:t xml:space="preserve">Responsabilidad única.</w:t>
      </w:r>
    </w:p>
    <w:p>
      <w:pPr>
        <w:pStyle w:val="Compact"/>
        <w:numPr>
          <w:ilvl w:val="0"/>
          <w:numId w:val="1002"/>
        </w:numPr>
      </w:pPr>
      <w:r>
        <w:t xml:space="preserve">Consultas reutilizables.</w:t>
      </w:r>
    </w:p>
    <w:p>
      <w:pPr>
        <w:pStyle w:val="Compact"/>
        <w:numPr>
          <w:ilvl w:val="0"/>
          <w:numId w:val="1002"/>
        </w:numPr>
      </w:pPr>
      <w:r>
        <w:t xml:space="preserve">Sin dependencia directa del SDK.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Use Case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Repository Interface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Firestore Repository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Firestore Adapter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Firebase SDK</w:t>
      </w:r>
    </w:p>
    <w:p>
      <w:pPr>
        <w:pStyle w:val="FirstParagraph"/>
      </w:pPr>
      <w:r>
        <w:t xml:space="preserve">Cada capa tendrá una única responsabilidad.</w:t>
      </w:r>
    </w:p>
    <w:p>
      <w:r>
        <w:pict>
          <v:rect style="width:0;height:1.5pt" o:hralign="center" o:hrstd="t" o:hr="t"/>
        </w:pict>
      </w:r>
    </w:p>
    <w:bookmarkEnd w:id="25"/>
    <w:bookmarkStart w:id="26" w:name="repository-interface"/>
    <w:p>
      <w:pPr>
        <w:pStyle w:val="Heading1"/>
      </w:pPr>
      <w:r>
        <w:t xml:space="preserve">Repository Interface</w:t>
      </w:r>
    </w:p>
    <w:p>
      <w:pPr>
        <w:pStyle w:val="FirstParagraph"/>
      </w:pPr>
      <w:r>
        <w:t xml:space="preserve">Los dominios definirán únicamente contratos.</w:t>
      </w:r>
    </w:p>
    <w:p>
      <w:pPr>
        <w:pStyle w:val="BodyText"/>
      </w:pPr>
      <w:r>
        <w:t xml:space="preserve">Ejemplo conceptual:</w:t>
      </w:r>
    </w:p>
    <w:p>
      <w:pPr>
        <w:pStyle w:val="Compact"/>
        <w:numPr>
          <w:ilvl w:val="0"/>
          <w:numId w:val="1003"/>
        </w:numPr>
      </w:pPr>
      <w:r>
        <w:t xml:space="preserve">CustomerRepository</w:t>
      </w:r>
    </w:p>
    <w:p>
      <w:pPr>
        <w:pStyle w:val="Compact"/>
        <w:numPr>
          <w:ilvl w:val="0"/>
          <w:numId w:val="1003"/>
        </w:numPr>
      </w:pPr>
      <w:r>
        <w:t xml:space="preserve">ProductRepository</w:t>
      </w:r>
    </w:p>
    <w:p>
      <w:pPr>
        <w:pStyle w:val="Compact"/>
        <w:numPr>
          <w:ilvl w:val="0"/>
          <w:numId w:val="1003"/>
        </w:numPr>
      </w:pPr>
      <w:r>
        <w:t xml:space="preserve">AppointmentRepository</w:t>
      </w:r>
    </w:p>
    <w:p>
      <w:pPr>
        <w:pStyle w:val="Compact"/>
        <w:numPr>
          <w:ilvl w:val="0"/>
          <w:numId w:val="1003"/>
        </w:numPr>
      </w:pPr>
      <w:r>
        <w:t xml:space="preserve">OrderRepository</w:t>
      </w:r>
    </w:p>
    <w:p>
      <w:pPr>
        <w:pStyle w:val="FirstParagraph"/>
      </w:pPr>
      <w:r>
        <w:t xml:space="preserve">Los contratos no conocerán Firestore.</w:t>
      </w:r>
    </w:p>
    <w:p>
      <w:r>
        <w:pict>
          <v:rect style="width:0;height:1.5pt" o:hralign="center" o:hrstd="t" o:hr="t"/>
        </w:pict>
      </w:r>
    </w:p>
    <w:bookmarkEnd w:id="26"/>
    <w:bookmarkStart w:id="27" w:name="firestore-repository"/>
    <w:p>
      <w:pPr>
        <w:pStyle w:val="Heading1"/>
      </w:pPr>
      <w:r>
        <w:t xml:space="preserve">Firestore Repository</w:t>
      </w:r>
    </w:p>
    <w:p>
      <w:pPr>
        <w:pStyle w:val="FirstParagraph"/>
      </w:pPr>
      <w:r>
        <w:t xml:space="preserve">Implementa el contrato del dominio.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4"/>
        </w:numPr>
      </w:pPr>
      <w:r>
        <w:t xml:space="preserve">Traducir entidades.</w:t>
      </w:r>
    </w:p>
    <w:p>
      <w:pPr>
        <w:pStyle w:val="Compact"/>
        <w:numPr>
          <w:ilvl w:val="0"/>
          <w:numId w:val="1004"/>
        </w:numPr>
      </w:pPr>
      <w:r>
        <w:t xml:space="preserve">Ejecutar consultas.</w:t>
      </w:r>
    </w:p>
    <w:p>
      <w:pPr>
        <w:pStyle w:val="Compact"/>
        <w:numPr>
          <w:ilvl w:val="0"/>
          <w:numId w:val="1004"/>
        </w:numPr>
      </w:pPr>
      <w:r>
        <w:t xml:space="preserve">Gestionar transacciones.</w:t>
      </w:r>
    </w:p>
    <w:p>
      <w:pPr>
        <w:pStyle w:val="Compact"/>
        <w:numPr>
          <w:ilvl w:val="0"/>
          <w:numId w:val="1004"/>
        </w:numPr>
      </w:pPr>
      <w:r>
        <w:t xml:space="preserve">Gestionar escrituras por lotes.</w:t>
      </w:r>
    </w:p>
    <w:p>
      <w:pPr>
        <w:pStyle w:val="Compact"/>
        <w:numPr>
          <w:ilvl w:val="0"/>
          <w:numId w:val="1004"/>
        </w:numPr>
      </w:pPr>
      <w:r>
        <w:t xml:space="preserve">Aplicar estrategias de lectura.</w:t>
      </w:r>
    </w:p>
    <w:p>
      <w:pPr>
        <w:pStyle w:val="FirstParagraph"/>
      </w:pPr>
      <w:r>
        <w:t xml:space="preserve">No contendrá reglas de negocio.</w:t>
      </w:r>
    </w:p>
    <w:p>
      <w:r>
        <w:pict>
          <v:rect style="width:0;height:1.5pt" o:hralign="center" o:hrstd="t" o:hr="t"/>
        </w:pict>
      </w:r>
    </w:p>
    <w:bookmarkEnd w:id="27"/>
    <w:bookmarkStart w:id="28" w:name="firestore-adapter"/>
    <w:p>
      <w:pPr>
        <w:pStyle w:val="Heading1"/>
      </w:pPr>
      <w:r>
        <w:t xml:space="preserve">Firestore Adapter</w:t>
      </w:r>
    </w:p>
    <w:p>
      <w:pPr>
        <w:pStyle w:val="FirstParagraph"/>
      </w:pPr>
      <w:r>
        <w:t xml:space="preserve">Encapsula el SDK.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5"/>
        </w:numPr>
      </w:pPr>
      <w:r>
        <w:t xml:space="preserve">Colecciones.</w:t>
      </w:r>
    </w:p>
    <w:p>
      <w:pPr>
        <w:pStyle w:val="Compact"/>
        <w:numPr>
          <w:ilvl w:val="0"/>
          <w:numId w:val="1005"/>
        </w:numPr>
      </w:pPr>
      <w:r>
        <w:t xml:space="preserve">Documentos.</w:t>
      </w:r>
    </w:p>
    <w:p>
      <w:pPr>
        <w:pStyle w:val="Compact"/>
        <w:numPr>
          <w:ilvl w:val="0"/>
          <w:numId w:val="1005"/>
        </w:numPr>
      </w:pPr>
      <w:r>
        <w:t xml:space="preserve">Consultas.</w:t>
      </w:r>
    </w:p>
    <w:p>
      <w:pPr>
        <w:pStyle w:val="Compact"/>
        <w:numPr>
          <w:ilvl w:val="0"/>
          <w:numId w:val="1005"/>
        </w:numPr>
      </w:pPr>
      <w:r>
        <w:t xml:space="preserve">Transacciones.</w:t>
      </w:r>
    </w:p>
    <w:p>
      <w:pPr>
        <w:pStyle w:val="Compact"/>
        <w:numPr>
          <w:ilvl w:val="0"/>
          <w:numId w:val="1005"/>
        </w:numPr>
      </w:pPr>
      <w:r>
        <w:t xml:space="preserve">Batch Writes.</w:t>
      </w:r>
    </w:p>
    <w:p>
      <w:pPr>
        <w:pStyle w:val="Compact"/>
        <w:numPr>
          <w:ilvl w:val="0"/>
          <w:numId w:val="1005"/>
        </w:numPr>
      </w:pPr>
      <w:r>
        <w:t xml:space="preserve">Conversión de tipos.</w:t>
      </w:r>
    </w:p>
    <w:p>
      <w:pPr>
        <w:pStyle w:val="FirstParagraph"/>
      </w:pPr>
      <w:r>
        <w:t xml:space="preserve">El resto de la plataforma nunca accederá directamente al SDK.</w:t>
      </w:r>
    </w:p>
    <w:p>
      <w:r>
        <w:pict>
          <v:rect style="width:0;height:1.5pt" o:hralign="center" o:hrstd="t" o:hr="t"/>
        </w:pict>
      </w:r>
    </w:p>
    <w:bookmarkEnd w:id="28"/>
    <w:bookmarkStart w:id="29" w:name="organización"/>
    <w:p>
      <w:pPr>
        <w:pStyle w:val="Heading1"/>
      </w:pPr>
      <w:r>
        <w:t xml:space="preserve">Organización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br/>
      </w:r>
      <w:r>
        <w:rPr>
          <w:rStyle w:val="VerbatimChar"/>
        </w:rPr>
        <w:t xml:space="preserve">firebase/</w:t>
      </w:r>
      <w:r>
        <w:br/>
      </w:r>
      <w:r>
        <w:br/>
      </w:r>
      <w:r>
        <w:rPr>
          <w:rStyle w:val="VerbatimChar"/>
        </w:rPr>
        <w:t xml:space="preserve">firestore/</w:t>
      </w:r>
      <w:r>
        <w:br/>
      </w:r>
      <w:r>
        <w:br/>
      </w:r>
      <w:r>
        <w:rPr>
          <w:rStyle w:val="VerbatimChar"/>
        </w:rPr>
        <w:t xml:space="preserve">├── adapters/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├── converters/</w:t>
      </w:r>
      <w:r>
        <w:br/>
      </w:r>
      <w:r>
        <w:rPr>
          <w:rStyle w:val="VerbatimChar"/>
        </w:rPr>
        <w:t xml:space="preserve">├── queries/</w:t>
      </w:r>
      <w:r>
        <w:br/>
      </w:r>
      <w:r>
        <w:rPr>
          <w:rStyle w:val="VerbatimChar"/>
        </w:rPr>
        <w:t xml:space="preserve">├── transactions/</w:t>
      </w:r>
      <w:r>
        <w:br/>
      </w:r>
      <w:r>
        <w:rPr>
          <w:rStyle w:val="VerbatimChar"/>
        </w:rPr>
        <w:t xml:space="preserve">├── pagination/</w:t>
      </w:r>
      <w:r>
        <w:br/>
      </w:r>
      <w:r>
        <w:rPr>
          <w:rStyle w:val="VerbatimChar"/>
        </w:rPr>
        <w:t xml:space="preserve">├── batch/</w:t>
      </w:r>
      <w:r>
        <w:br/>
      </w:r>
      <w:r>
        <w:rPr>
          <w:rStyle w:val="VerbatimChar"/>
        </w:rPr>
        <w:t xml:space="preserve">└── index.ts</w:t>
      </w:r>
    </w:p>
    <w:p>
      <w:pPr>
        <w:pStyle w:val="FirstParagraph"/>
      </w:pPr>
      <w:r>
        <w:t xml:space="preserve">Cada carpeta representa una capacidad específica.</w:t>
      </w:r>
    </w:p>
    <w:p>
      <w:r>
        <w:pict>
          <v:rect style="width:0;height:1.5pt" o:hralign="center" o:hrstd="t" o:hr="t"/>
        </w:pict>
      </w:r>
    </w:p>
    <w:bookmarkEnd w:id="29"/>
    <w:bookmarkStart w:id="30" w:name="conversores"/>
    <w:p>
      <w:pPr>
        <w:pStyle w:val="Heading1"/>
      </w:pPr>
      <w:r>
        <w:t xml:space="preserve">Conversores</w:t>
      </w:r>
    </w:p>
    <w:p>
      <w:pPr>
        <w:pStyle w:val="FirstParagraph"/>
      </w:pPr>
      <w:r>
        <w:t xml:space="preserve">Toda transformación entre documentos y entidades deberá realizarse mediante conversores.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06"/>
        </w:numPr>
      </w:pPr>
      <w:r>
        <w:t xml:space="preserve">Documento → Entidad.</w:t>
      </w:r>
    </w:p>
    <w:p>
      <w:pPr>
        <w:pStyle w:val="Compact"/>
        <w:numPr>
          <w:ilvl w:val="0"/>
          <w:numId w:val="1006"/>
        </w:numPr>
      </w:pPr>
      <w:r>
        <w:t xml:space="preserve">Entidad → Documento.</w:t>
      </w:r>
    </w:p>
    <w:p>
      <w:pPr>
        <w:pStyle w:val="FirstParagraph"/>
      </w:pPr>
      <w:r>
        <w:t xml:space="preserve">Esto evita duplicación de lógica y mantiene aislado el formato de persistencia.</w:t>
      </w:r>
    </w:p>
    <w:p>
      <w:r>
        <w:pict>
          <v:rect style="width:0;height:1.5pt" o:hralign="center" o:hrstd="t" o:hr="t"/>
        </w:pict>
      </w:r>
    </w:p>
    <w:bookmarkEnd w:id="30"/>
    <w:bookmarkStart w:id="31" w:name="consultas"/>
    <w:p>
      <w:pPr>
        <w:pStyle w:val="Heading1"/>
      </w:pPr>
      <w:r>
        <w:t xml:space="preserve">Consultas</w:t>
      </w:r>
    </w:p>
    <w:p>
      <w:pPr>
        <w:pStyle w:val="FirstParagraph"/>
      </w:pPr>
      <w:r>
        <w:t xml:space="preserve">Las consultas deberán ser reutilizables.</w:t>
      </w:r>
    </w:p>
    <w:p>
      <w:pPr>
        <w:pStyle w:val="BodyText"/>
      </w:pPr>
      <w:r>
        <w:t xml:space="preserve">No se permitirá construir consultas complejas directamente dentro de los casos de uso.</w:t>
      </w:r>
    </w:p>
    <w:p>
      <w:pPr>
        <w:pStyle w:val="BodyText"/>
      </w:pPr>
      <w:r>
        <w:t xml:space="preserve">Las consultas frecuentes se encapsularán y documentarán.</w:t>
      </w:r>
    </w:p>
    <w:p>
      <w:r>
        <w:pict>
          <v:rect style="width:0;height:1.5pt" o:hralign="center" o:hrstd="t" o:hr="t"/>
        </w:pict>
      </w:r>
    </w:p>
    <w:bookmarkEnd w:id="31"/>
    <w:bookmarkStart w:id="32" w:name="paginación"/>
    <w:p>
      <w:pPr>
        <w:pStyle w:val="Heading1"/>
      </w:pPr>
      <w:r>
        <w:t xml:space="preserve">Paginación</w:t>
      </w:r>
    </w:p>
    <w:p>
      <w:pPr>
        <w:pStyle w:val="FirstParagraph"/>
      </w:pPr>
      <w:r>
        <w:t xml:space="preserve">Las colecciones de gran tamaño utilizarán cursores de Firestore.</w:t>
      </w:r>
    </w:p>
    <w:p>
      <w:pPr>
        <w:pStyle w:val="BodyText"/>
      </w:pPr>
      <w:r>
        <w:t xml:space="preserve">La estrategia de paginación será uniforme para toda la plataforma.</w:t>
      </w:r>
    </w:p>
    <w:p>
      <w:pPr>
        <w:pStyle w:val="BodyText"/>
      </w:pPr>
      <w:r>
        <w:t xml:space="preserve">No se emplearán desplazamientos basados en índices (</w:t>
      </w:r>
      <w:r>
        <w:rPr>
          <w:rStyle w:val="VerbatimChar"/>
        </w:rPr>
        <w:t xml:space="preserve">offset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Start w:id="33" w:name="transacciones"/>
    <w:p>
      <w:pPr>
        <w:pStyle w:val="Heading1"/>
      </w:pPr>
      <w:r>
        <w:t xml:space="preserve">Transacciones</w:t>
      </w:r>
    </w:p>
    <w:p>
      <w:pPr>
        <w:pStyle w:val="FirstParagraph"/>
      </w:pPr>
      <w:r>
        <w:t xml:space="preserve">Las operaciones que modifiquen múltiples documentos utilizarán transacciones cuando la consistencia sea crítica.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Confirmación de una reserva.</w:t>
      </w:r>
    </w:p>
    <w:p>
      <w:pPr>
        <w:pStyle w:val="Compact"/>
        <w:numPr>
          <w:ilvl w:val="0"/>
          <w:numId w:val="1007"/>
        </w:numPr>
      </w:pPr>
      <w:r>
        <w:t xml:space="preserve">Creación de un pedido.</w:t>
      </w:r>
    </w:p>
    <w:p>
      <w:pPr>
        <w:pStyle w:val="Compact"/>
        <w:numPr>
          <w:ilvl w:val="0"/>
          <w:numId w:val="1007"/>
        </w:numPr>
      </w:pPr>
      <w:r>
        <w:t xml:space="preserve">Actualización de inventario.</w:t>
      </w:r>
    </w:p>
    <w:p>
      <w:r>
        <w:pict>
          <v:rect style="width:0;height:1.5pt" o:hralign="center" o:hrstd="t" o:hr="t"/>
        </w:pict>
      </w:r>
    </w:p>
    <w:bookmarkEnd w:id="33"/>
    <w:bookmarkStart w:id="34" w:name="escrituras-por-lotes"/>
    <w:p>
      <w:pPr>
        <w:pStyle w:val="Heading1"/>
      </w:pPr>
      <w:r>
        <w:t xml:space="preserve">Escrituras por Lotes</w:t>
      </w:r>
    </w:p>
    <w:p>
      <w:pPr>
        <w:pStyle w:val="FirstParagraph"/>
      </w:pPr>
      <w:r>
        <w:t xml:space="preserve">Las escrituras independientes podrán agruparse mediante operaciones por lotes para reducir latencia y optimizar costos.</w:t>
      </w:r>
    </w:p>
    <w:p>
      <w:r>
        <w:pict>
          <v:rect style="width:0;height:1.5pt" o:hralign="center" o:hrstd="t" o:hr="t"/>
        </w:pict>
      </w:r>
    </w:p>
    <w:bookmarkEnd w:id="34"/>
    <w:bookmarkStart w:id="35" w:name="índices"/>
    <w:p>
      <w:pPr>
        <w:pStyle w:val="Heading1"/>
      </w:pPr>
      <w:r>
        <w:t xml:space="preserve">Índices</w:t>
      </w:r>
    </w:p>
    <w:p>
      <w:pPr>
        <w:pStyle w:val="FirstParagraph"/>
      </w:pPr>
      <w:r>
        <w:t xml:space="preserve">Todo repositorio deberá documentar los índices necesarios para sus consultas.</w:t>
      </w:r>
    </w:p>
    <w:p>
      <w:pPr>
        <w:pStyle w:val="BodyText"/>
      </w:pPr>
      <w:r>
        <w:t xml:space="preserve">No se crearán índices de manera reactiva sin análisis previo.</w:t>
      </w:r>
    </w:p>
    <w:p>
      <w:r>
        <w:pict>
          <v:rect style="width:0;height:1.5pt" o:hralign="center" o:hrstd="t" o:hr="t"/>
        </w:pict>
      </w:r>
    </w:p>
    <w:bookmarkEnd w:id="35"/>
    <w:bookmarkStart w:id="36" w:name="manejo-de-errores"/>
    <w:p>
      <w:pPr>
        <w:pStyle w:val="Heading1"/>
      </w:pPr>
      <w:r>
        <w:t xml:space="preserve">Manejo de Errores</w:t>
      </w:r>
    </w:p>
    <w:p>
      <w:pPr>
        <w:pStyle w:val="FirstParagraph"/>
      </w:pPr>
      <w:r>
        <w:t xml:space="preserve">Los errores del SDK deberán transformarse en los tipos definidos en</w:t>
      </w:r>
      <w:r>
        <w:t xml:space="preserve"> </w:t>
      </w:r>
      <w:r>
        <w:rPr>
          <w:rStyle w:val="VerbatimChar"/>
        </w:rPr>
        <w:t xml:space="preserve">CORE002</w:t>
      </w:r>
      <w:r>
        <w:t xml:space="preserve">.</w:t>
      </w:r>
    </w:p>
    <w:p>
      <w:pPr>
        <w:pStyle w:val="BodyText"/>
      </w:pPr>
      <w:r>
        <w:t xml:space="preserve">El dominio nunca recibirá errores específicos de Firestore.</w:t>
      </w:r>
    </w:p>
    <w:p>
      <w:r>
        <w:pict>
          <v:rect style="width:0;height:1.5pt" o:hralign="center" o:hrstd="t" o:hr="t"/>
        </w:pict>
      </w:r>
    </w:p>
    <w:bookmarkEnd w:id="36"/>
    <w:bookmarkStart w:id="37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Las operaciones relevantes deberán generar:</w:t>
      </w:r>
    </w:p>
    <w:p>
      <w:pPr>
        <w:pStyle w:val="Compact"/>
        <w:numPr>
          <w:ilvl w:val="0"/>
          <w:numId w:val="1008"/>
        </w:numPr>
      </w:pPr>
      <w:r>
        <w:t xml:space="preserve">Registros estructurados.</w:t>
      </w:r>
    </w:p>
    <w:p>
      <w:pPr>
        <w:pStyle w:val="Compact"/>
        <w:numPr>
          <w:ilvl w:val="0"/>
          <w:numId w:val="1008"/>
        </w:numPr>
      </w:pPr>
      <w:r>
        <w:t xml:space="preserve">Métricas de rendimiento.</w:t>
      </w:r>
    </w:p>
    <w:p>
      <w:pPr>
        <w:pStyle w:val="Compact"/>
        <w:numPr>
          <w:ilvl w:val="0"/>
          <w:numId w:val="1008"/>
        </w:numPr>
      </w:pPr>
      <w:r>
        <w:t xml:space="preserve">Identificadores de correlación.</w:t>
      </w:r>
    </w:p>
    <w:p>
      <w:pPr>
        <w:pStyle w:val="FirstParagraph"/>
      </w:pPr>
      <w:r>
        <w:t xml:space="preserve">Esto facilitará el diagnóstico y la optimización.</w:t>
      </w:r>
    </w:p>
    <w:p>
      <w:r>
        <w:pict>
          <v:rect style="width:0;height:1.5pt" o:hralign="center" o:hrstd="t" o:hr="t"/>
        </w:pict>
      </w:r>
    </w:p>
    <w:bookmarkEnd w:id="37"/>
    <w:bookmarkStart w:id="40" w:name="pruebas"/>
    <w:p>
      <w:pPr>
        <w:pStyle w:val="Heading1"/>
      </w:pPr>
      <w:r>
        <w:t xml:space="preserve">Pruebas</w:t>
      </w:r>
    </w:p>
    <w:p>
      <w:pPr>
        <w:pStyle w:val="FirstParagraph"/>
      </w:pPr>
      <w:r>
        <w:t xml:space="preserve">Cada repositorio deberá contar con:</w:t>
      </w:r>
    </w:p>
    <w:bookmarkStart w:id="38" w:name="unitarias"/>
    <w:p>
      <w:pPr>
        <w:pStyle w:val="Heading2"/>
      </w:pPr>
      <w:r>
        <w:t xml:space="preserve">Unitarias</w:t>
      </w:r>
    </w:p>
    <w:p>
      <w:pPr>
        <w:pStyle w:val="Compact"/>
        <w:numPr>
          <w:ilvl w:val="0"/>
          <w:numId w:val="1009"/>
        </w:numPr>
      </w:pPr>
      <w:r>
        <w:t xml:space="preserve">Conversores.</w:t>
      </w:r>
    </w:p>
    <w:p>
      <w:pPr>
        <w:pStyle w:val="Compact"/>
        <w:numPr>
          <w:ilvl w:val="0"/>
          <w:numId w:val="1009"/>
        </w:numPr>
      </w:pPr>
      <w:r>
        <w:t xml:space="preserve">Construcción de consultas.</w:t>
      </w:r>
    </w:p>
    <w:p>
      <w:pPr>
        <w:pStyle w:val="Compact"/>
        <w:numPr>
          <w:ilvl w:val="0"/>
          <w:numId w:val="1009"/>
        </w:numPr>
      </w:pPr>
      <w:r>
        <w:t xml:space="preserve">Validación de parámetros.</w:t>
      </w:r>
    </w:p>
    <w:bookmarkEnd w:id="38"/>
    <w:bookmarkStart w:id="39" w:name="integración"/>
    <w:p>
      <w:pPr>
        <w:pStyle w:val="Heading2"/>
      </w:pPr>
      <w:r>
        <w:t xml:space="preserve">Integración</w:t>
      </w:r>
    </w:p>
    <w:p>
      <w:pPr>
        <w:pStyle w:val="Compact"/>
        <w:numPr>
          <w:ilvl w:val="0"/>
          <w:numId w:val="1010"/>
        </w:numPr>
      </w:pPr>
      <w:r>
        <w:t xml:space="preserve">Firestore Emulator.</w:t>
      </w:r>
    </w:p>
    <w:p>
      <w:pPr>
        <w:pStyle w:val="Compact"/>
        <w:numPr>
          <w:ilvl w:val="0"/>
          <w:numId w:val="1010"/>
        </w:numPr>
      </w:pPr>
      <w:r>
        <w:t xml:space="preserve">Transacciones.</w:t>
      </w:r>
    </w:p>
    <w:p>
      <w:pPr>
        <w:pStyle w:val="Compact"/>
        <w:numPr>
          <w:ilvl w:val="0"/>
          <w:numId w:val="1010"/>
        </w:numPr>
      </w:pPr>
      <w:r>
        <w:t xml:space="preserve">Escrituras por lotes.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1"/>
        </w:numPr>
      </w:pPr>
      <w:r>
        <w:t xml:space="preserve">Consultas duplicadas.</w:t>
      </w:r>
    </w:p>
    <w:p>
      <w:pPr>
        <w:pStyle w:val="Compact"/>
        <w:numPr>
          <w:ilvl w:val="0"/>
          <w:numId w:val="1011"/>
        </w:numPr>
      </w:pPr>
      <w:r>
        <w:t xml:space="preserve">Dependencia directa del SDK.</w:t>
      </w:r>
    </w:p>
    <w:p>
      <w:pPr>
        <w:pStyle w:val="Compact"/>
        <w:numPr>
          <w:ilvl w:val="0"/>
          <w:numId w:val="1011"/>
        </w:numPr>
      </w:pPr>
      <w:r>
        <w:t xml:space="preserve">Conversores inconsistentes.</w:t>
      </w:r>
    </w:p>
    <w:p>
      <w:pPr>
        <w:pStyle w:val="Compact"/>
        <w:numPr>
          <w:ilvl w:val="0"/>
          <w:numId w:val="1011"/>
        </w:numPr>
      </w:pPr>
      <w:r>
        <w:t xml:space="preserve">Índices insuficientes.</w:t>
      </w:r>
    </w:p>
    <w:p>
      <w:pPr>
        <w:pStyle w:val="Compact"/>
        <w:numPr>
          <w:ilvl w:val="0"/>
          <w:numId w:val="1011"/>
        </w:numPr>
      </w:pPr>
      <w:r>
        <w:t xml:space="preserve">Consultas costosas.</w:t>
      </w:r>
    </w:p>
    <w:p>
      <w:pPr>
        <w:pStyle w:val="FirstParagraph"/>
      </w:pPr>
      <w:r>
        <w:t xml:space="preserve">Estos riesgos deberán revisarse en cada nuevo repositorio.</w:t>
      </w:r>
    </w:p>
    <w:p>
      <w:r>
        <w:pict>
          <v:rect style="width:0;height:1.5pt" o:hralign="center" o:hrstd="t" o:hr="t"/>
        </w:pict>
      </w:r>
    </w:p>
    <w:bookmarkEnd w:id="41"/>
    <w:bookmarkStart w:id="42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2"/>
        </w:numPr>
      </w:pPr>
      <w:r>
        <w:t xml:space="preserve">Contratos definidos.</w:t>
      </w:r>
    </w:p>
    <w:p>
      <w:pPr>
        <w:pStyle w:val="Compact"/>
        <w:numPr>
          <w:ilvl w:val="0"/>
          <w:numId w:val="1012"/>
        </w:numPr>
      </w:pPr>
      <w:r>
        <w:t xml:space="preserve">Repositorios desacoplados.</w:t>
      </w:r>
    </w:p>
    <w:p>
      <w:pPr>
        <w:pStyle w:val="Compact"/>
        <w:numPr>
          <w:ilvl w:val="0"/>
          <w:numId w:val="1012"/>
        </w:numPr>
      </w:pPr>
      <w:r>
        <w:t xml:space="preserve">Adaptadores documentados.</w:t>
      </w:r>
    </w:p>
    <w:p>
      <w:pPr>
        <w:pStyle w:val="Compact"/>
        <w:numPr>
          <w:ilvl w:val="0"/>
          <w:numId w:val="1012"/>
        </w:numPr>
      </w:pPr>
      <w:r>
        <w:t xml:space="preserve">Conversores definidos.</w:t>
      </w:r>
    </w:p>
    <w:p>
      <w:pPr>
        <w:pStyle w:val="Compact"/>
        <w:numPr>
          <w:ilvl w:val="0"/>
          <w:numId w:val="1012"/>
        </w:numPr>
      </w:pPr>
      <w:r>
        <w:t xml:space="preserve">Estrategia de consultas aprobada.</w:t>
      </w:r>
    </w:p>
    <w:p>
      <w:pPr>
        <w:pStyle w:val="Compact"/>
        <w:numPr>
          <w:ilvl w:val="0"/>
          <w:numId w:val="1012"/>
        </w:numPr>
      </w:pPr>
      <w:r>
        <w:t xml:space="preserve">Estrategia de transacciones aprobada.</w:t>
      </w:r>
    </w:p>
    <w:p>
      <w:pPr>
        <w:pStyle w:val="Compact"/>
        <w:numPr>
          <w:ilvl w:val="0"/>
          <w:numId w:val="1012"/>
        </w:numPr>
      </w:pPr>
      <w:r>
        <w:t xml:space="preserve">Estrategia de paginación documentada.</w:t>
      </w:r>
    </w:p>
    <w:p>
      <w:pPr>
        <w:pStyle w:val="Compact"/>
        <w:numPr>
          <w:ilvl w:val="0"/>
          <w:numId w:val="1012"/>
        </w:numPr>
      </w:pPr>
      <w:r>
        <w:t xml:space="preserve">Integración con observabilidad incluida.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3"/>
        </w:numPr>
      </w:pPr>
      <w:r>
        <w:t xml:space="preserve">FB001_FIREBASE_SDK_ARCHITECTURE.md</w:t>
      </w:r>
    </w:p>
    <w:p>
      <w:pPr>
        <w:pStyle w:val="Compact"/>
        <w:numPr>
          <w:ilvl w:val="0"/>
          <w:numId w:val="1013"/>
        </w:numPr>
      </w:pPr>
      <w:r>
        <w:t xml:space="preserve">DB001_FIRESTORE_DATABASE_ARCHITECTURE.md</w:t>
      </w:r>
    </w:p>
    <w:p>
      <w:pPr>
        <w:pStyle w:val="Compact"/>
        <w:numPr>
          <w:ilvl w:val="0"/>
          <w:numId w:val="1013"/>
        </w:numPr>
      </w:pPr>
      <w:r>
        <w:t xml:space="preserve">DB002_FIRESTORE_NAMING_AND_DOCUMENT_STANDARDS.md</w:t>
      </w:r>
    </w:p>
    <w:p>
      <w:pPr>
        <w:pStyle w:val="Compact"/>
        <w:numPr>
          <w:ilvl w:val="0"/>
          <w:numId w:val="1013"/>
        </w:numPr>
      </w:pPr>
      <w:r>
        <w:t xml:space="preserve">CORE001_PLATFORM_FOUNDATION_ARCHITECTURE.md</w:t>
      </w:r>
    </w:p>
    <w:p>
      <w:pPr>
        <w:pStyle w:val="Compact"/>
        <w:numPr>
          <w:ilvl w:val="0"/>
          <w:numId w:val="1013"/>
        </w:numPr>
      </w:pPr>
      <w:r>
        <w:t xml:space="preserve">CORE002_ERROR_HANDLING_AND_RESULT_PATTERN.md</w:t>
      </w:r>
    </w:p>
    <w:p>
      <w:r>
        <w:pict>
          <v:rect style="width:0;height:1.5pt" o:hralign="center" o:hrstd="t" o:hr="t"/>
        </w:pict>
      </w:r>
    </w:p>
    <w:bookmarkEnd w:id="43"/>
    <w:bookmarkStart w:id="44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patrón oficial de acceso a Firestore.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2026-06-30T17:01:23Z</dcterms:created>
  <dcterms:modified xsi:type="dcterms:W3CDTF">2026-06-30T17:01:23Z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