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specialist006-firestore-security-rules"/>
    <w:p>
      <w:pPr>
        <w:pStyle w:val="Heading1"/>
      </w:pPr>
      <w:r>
        <w:t xml:space="preserve">SPECIALIST006 — FIRESTORE SECURITY RULES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estrategia oficial de seguridad para el dominio</w:t>
      </w:r>
      <w:r>
        <w:t xml:space="preserve"> </w:t>
      </w:r>
      <w:r>
        <w:rPr>
          <w:b/>
          <w:bCs/>
        </w:rPr>
        <w:t xml:space="preserve">Specialists</w:t>
      </w:r>
      <w:r>
        <w:t xml:space="preserve"> </w:t>
      </w:r>
      <w:r>
        <w:t xml:space="preserve">mediante Firestore Security Rules.</w:t>
      </w:r>
    </w:p>
    <w:p>
      <w:pPr>
        <w:pStyle w:val="BodyText"/>
      </w:pPr>
      <w:r>
        <w:t xml:space="preserve">Las reglas protegerán la información profesional de los especialistas y actuarán como la última capa de protección antes del acceso a Firestore.</w:t>
      </w:r>
    </w:p>
    <w:p>
      <w:pPr>
        <w:pStyle w:val="BodyText"/>
      </w:pPr>
      <w:r>
        <w:t xml:space="preserve">Las reglas</w:t>
      </w:r>
      <w:r>
        <w:t xml:space="preserve"> </w:t>
      </w:r>
      <w:r>
        <w:rPr>
          <w:b/>
          <w:bCs/>
        </w:rPr>
        <w:t xml:space="preserve">no implementarán lógica de negocio</w:t>
      </w:r>
      <w:r>
        <w:t xml:space="preserve">; esa responsabilidad pertenece a los casos de uso y a las Cloud Functions.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Colección</w:t>
      </w:r>
      <w:r>
        <w:t xml:space="preserve"> </w:t>
      </w:r>
      <w:r>
        <w:rPr>
          <w:rStyle w:val="VerbatimChar"/>
        </w:rPr>
        <w:t xml:space="preserve">specialists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Subcolecciones.</w:t>
      </w:r>
    </w:p>
    <w:p>
      <w:pPr>
        <w:pStyle w:val="Compact"/>
        <w:numPr>
          <w:ilvl w:val="0"/>
          <w:numId w:val="1001"/>
        </w:numPr>
      </w:pPr>
      <w:r>
        <w:t xml:space="preserve">Consultas.</w:t>
      </w:r>
    </w:p>
    <w:p>
      <w:pPr>
        <w:pStyle w:val="Compact"/>
        <w:numPr>
          <w:ilvl w:val="0"/>
          <w:numId w:val="1001"/>
        </w:numPr>
      </w:pPr>
      <w:r>
        <w:t xml:space="preserve">Lecturas.</w:t>
      </w:r>
    </w:p>
    <w:p>
      <w:pPr>
        <w:pStyle w:val="Compact"/>
        <w:numPr>
          <w:ilvl w:val="0"/>
          <w:numId w:val="1001"/>
        </w:numPr>
      </w:pPr>
      <w:r>
        <w:t xml:space="preserve">Escrituras.</w:t>
      </w:r>
    </w:p>
    <w:p>
      <w:pPr>
        <w:pStyle w:val="Compact"/>
        <w:numPr>
          <w:ilvl w:val="0"/>
          <w:numId w:val="1001"/>
        </w:numPr>
      </w:pPr>
      <w:r>
        <w:t xml:space="preserve">Eliminación lógica.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Las reglas deberán cumplir los siguientes principios:</w:t>
      </w:r>
    </w:p>
    <w:p>
      <w:pPr>
        <w:pStyle w:val="Compact"/>
        <w:numPr>
          <w:ilvl w:val="0"/>
          <w:numId w:val="1002"/>
        </w:numPr>
      </w:pPr>
      <w:r>
        <w:t xml:space="preserve">Least Privilege.</w:t>
      </w:r>
    </w:p>
    <w:p>
      <w:pPr>
        <w:pStyle w:val="Compact"/>
        <w:numPr>
          <w:ilvl w:val="0"/>
          <w:numId w:val="1002"/>
        </w:numPr>
      </w:pPr>
      <w:r>
        <w:t xml:space="preserve">Zero Trust.</w:t>
      </w:r>
    </w:p>
    <w:p>
      <w:pPr>
        <w:pStyle w:val="Compact"/>
        <w:numPr>
          <w:ilvl w:val="0"/>
          <w:numId w:val="1002"/>
        </w:numPr>
      </w:pPr>
      <w:r>
        <w:t xml:space="preserve">Multi-Tenant.</w:t>
      </w:r>
    </w:p>
    <w:p>
      <w:pPr>
        <w:pStyle w:val="Compact"/>
        <w:numPr>
          <w:ilvl w:val="0"/>
          <w:numId w:val="1002"/>
        </w:numPr>
      </w:pPr>
      <w:r>
        <w:t xml:space="preserve">Defense in Depth.</w:t>
      </w:r>
    </w:p>
    <w:p>
      <w:pPr>
        <w:pStyle w:val="Compact"/>
        <w:numPr>
          <w:ilvl w:val="0"/>
          <w:numId w:val="1002"/>
        </w:numPr>
      </w:pPr>
      <w:r>
        <w:t xml:space="preserve">Fail Secure.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"/>
    <w:p>
      <w:pPr>
        <w:pStyle w:val="Heading1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Firebase Authentication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Firestore Security Rules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Firestore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Cloud Functions</w:t>
      </w:r>
    </w:p>
    <w:p>
      <w:pPr>
        <w:pStyle w:val="FirstParagraph"/>
      </w:pPr>
      <w:r>
        <w:t xml:space="preserve">Las reglas validan el acceso.</w:t>
      </w:r>
    </w:p>
    <w:p>
      <w:pPr>
        <w:pStyle w:val="BodyText"/>
      </w:pPr>
      <w:r>
        <w:t xml:space="preserve">Las Cloud Functions ejecutan la lógica del negocio.</w:t>
      </w:r>
    </w:p>
    <w:p>
      <w:r>
        <w:pict>
          <v:rect style="width:0;height:1.5pt" o:hralign="center" o:hrstd="t" o:hr="t"/>
        </w:pict>
      </w:r>
    </w:p>
    <w:bookmarkEnd w:id="25"/>
    <w:bookmarkStart w:id="26" w:name="estructura-de-la-colección"/>
    <w:p>
      <w:pPr>
        <w:pStyle w:val="Heading1"/>
      </w:pPr>
      <w:r>
        <w:t xml:space="preserve">Estructura de la Colección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└── {organizationId}</w:t>
      </w:r>
      <w:r>
        <w:br/>
      </w:r>
      <w:r>
        <w:rPr>
          <w:rStyle w:val="VerbatimChar"/>
        </w:rPr>
        <w:t xml:space="preserve">    └── specialists</w:t>
      </w:r>
      <w:r>
        <w:br/>
      </w:r>
      <w:r>
        <w:rPr>
          <w:rStyle w:val="VerbatimChar"/>
        </w:rPr>
        <w:t xml:space="preserve">        └── {specialistId}</w:t>
      </w:r>
    </w:p>
    <w:p>
      <w:pPr>
        <w:pStyle w:val="FirstParagraph"/>
      </w:pPr>
      <w:r>
        <w:t xml:space="preserve">Todo acceso deberá realizarse dentro del contexto de una organización.</w:t>
      </w:r>
    </w:p>
    <w:p>
      <w:r>
        <w:pict>
          <v:rect style="width:0;height:1.5pt" o:hralign="center" o:hrstd="t" o:hr="t"/>
        </w:pict>
      </w:r>
    </w:p>
    <w:bookmarkEnd w:id="26"/>
    <w:bookmarkStart w:id="29" w:name="lecturas"/>
    <w:p>
      <w:pPr>
        <w:pStyle w:val="Heading1"/>
      </w:pPr>
      <w:r>
        <w:t xml:space="preserve">Lecturas</w:t>
      </w:r>
    </w:p>
    <w:bookmarkStart w:id="27" w:name="obtener-especialista"/>
    <w:p>
      <w:pPr>
        <w:pStyle w:val="Heading2"/>
      </w:pPr>
      <w:r>
        <w:t xml:space="preserve">Obtener Especialista</w:t>
      </w:r>
    </w:p>
    <w:p>
      <w:pPr>
        <w:pStyle w:val="FirstParagraph"/>
      </w:pPr>
      <w:r>
        <w:t xml:space="preserve">Permitido únicamente cuando:</w:t>
      </w:r>
    </w:p>
    <w:p>
      <w:pPr>
        <w:pStyle w:val="Compact"/>
        <w:numPr>
          <w:ilvl w:val="0"/>
          <w:numId w:val="1003"/>
        </w:numPr>
      </w:pPr>
      <w:r>
        <w:t xml:space="preserve">Usuario autenticado.</w:t>
      </w:r>
    </w:p>
    <w:p>
      <w:pPr>
        <w:pStyle w:val="Compact"/>
        <w:numPr>
          <w:ilvl w:val="0"/>
          <w:numId w:val="1003"/>
        </w:numPr>
      </w:pPr>
      <w:r>
        <w:t xml:space="preserve">Organización válida.</w:t>
      </w:r>
    </w:p>
    <w:p>
      <w:pPr>
        <w:pStyle w:val="Compact"/>
        <w:numPr>
          <w:ilvl w:val="0"/>
          <w:numId w:val="1003"/>
        </w:numPr>
      </w:pPr>
      <w:r>
        <w:t xml:space="preserve">Permiso</w:t>
      </w:r>
      <w:r>
        <w:t xml:space="preserve"> </w:t>
      </w:r>
      <w:r>
        <w:rPr>
          <w:rStyle w:val="VerbatimChar"/>
        </w:rPr>
        <w:t xml:space="preserve">specialists.read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consultar-especialistas"/>
    <w:p>
      <w:pPr>
        <w:pStyle w:val="Heading2"/>
      </w:pPr>
      <w:r>
        <w:t xml:space="preserve">Consultar Especialistas</w:t>
      </w:r>
    </w:p>
    <w:p>
      <w:pPr>
        <w:pStyle w:val="FirstParagraph"/>
      </w:pPr>
      <w:r>
        <w:t xml:space="preserve">Permitido cuando:</w:t>
      </w:r>
    </w:p>
    <w:p>
      <w:pPr>
        <w:pStyle w:val="Compact"/>
        <w:numPr>
          <w:ilvl w:val="0"/>
          <w:numId w:val="1004"/>
        </w:numPr>
      </w:pPr>
      <w:r>
        <w:t xml:space="preserve">Usuario autenticado.</w:t>
      </w:r>
    </w:p>
    <w:p>
      <w:pPr>
        <w:pStyle w:val="Compact"/>
        <w:numPr>
          <w:ilvl w:val="0"/>
          <w:numId w:val="1004"/>
        </w:numPr>
      </w:pPr>
      <w:r>
        <w:t xml:space="preserve">Organización válida.</w:t>
      </w:r>
    </w:p>
    <w:p>
      <w:pPr>
        <w:pStyle w:val="Compact"/>
        <w:numPr>
          <w:ilvl w:val="0"/>
          <w:numId w:val="1004"/>
        </w:numPr>
      </w:pPr>
      <w:r>
        <w:t xml:space="preserve">Permiso</w:t>
      </w:r>
      <w:r>
        <w:t xml:space="preserve"> </w:t>
      </w:r>
      <w:r>
        <w:rPr>
          <w:rStyle w:val="VerbatimChar"/>
        </w:rPr>
        <w:t xml:space="preserve">specialists.read</w:t>
      </w:r>
      <w:r>
        <w:t xml:space="preserve">.</w:t>
      </w:r>
    </w:p>
    <w:p>
      <w:pPr>
        <w:pStyle w:val="FirstParagraph"/>
      </w:pPr>
      <w:r>
        <w:t xml:space="preserve">Las consultas deberán utilizar los índices aprobados por el modelo de datos.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escrituras"/>
    <w:p>
      <w:pPr>
        <w:pStyle w:val="Heading1"/>
      </w:pPr>
      <w:r>
        <w:t xml:space="preserve">Escrituras</w:t>
      </w:r>
    </w:p>
    <w:p>
      <w:pPr>
        <w:pStyle w:val="FirstParagraph"/>
      </w:pPr>
      <w:r>
        <w:t xml:space="preserve">Las escrituras directas desde el cliente estarán restringidas.</w:t>
      </w:r>
    </w:p>
    <w:bookmarkStart w:id="30" w:name="crear"/>
    <w:p>
      <w:pPr>
        <w:pStyle w:val="Heading2"/>
      </w:pPr>
      <w:r>
        <w:t xml:space="preserve">Crear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5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createSpecialist</w:t>
      </w:r>
    </w:p>
    <w:p>
      <w:r>
        <w:pict>
          <v:rect style="width:0;height:1.5pt" o:hralign="center" o:hrstd="t" o:hr="t"/>
        </w:pict>
      </w:r>
    </w:p>
    <w:bookmarkEnd w:id="30"/>
    <w:bookmarkStart w:id="31" w:name="actualizar"/>
    <w:p>
      <w:pPr>
        <w:pStyle w:val="Heading2"/>
      </w:pPr>
      <w:r>
        <w:t xml:space="preserve">Actualizar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6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updateSpecialist</w:t>
      </w:r>
    </w:p>
    <w:p>
      <w:r>
        <w:pict>
          <v:rect style="width:0;height:1.5pt" o:hralign="center" o:hrstd="t" o:hr="t"/>
        </w:pict>
      </w:r>
    </w:p>
    <w:bookmarkEnd w:id="31"/>
    <w:bookmarkStart w:id="32" w:name="activar"/>
    <w:p>
      <w:pPr>
        <w:pStyle w:val="Heading2"/>
      </w:pPr>
      <w:r>
        <w:t xml:space="preserve">Activar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7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activateSpecialist</w:t>
      </w:r>
    </w:p>
    <w:p>
      <w:r>
        <w:pict>
          <v:rect style="width:0;height:1.5pt" o:hralign="center" o:hrstd="t" o:hr="t"/>
        </w:pict>
      </w:r>
    </w:p>
    <w:bookmarkEnd w:id="32"/>
    <w:bookmarkStart w:id="33" w:name="suspender"/>
    <w:p>
      <w:pPr>
        <w:pStyle w:val="Heading2"/>
      </w:pPr>
      <w:r>
        <w:t xml:space="preserve">Suspender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8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suspendSpecialist</w:t>
      </w:r>
    </w:p>
    <w:p>
      <w:r>
        <w:pict>
          <v:rect style="width:0;height:1.5pt" o:hralign="center" o:hrstd="t" o:hr="t"/>
        </w:pict>
      </w:r>
    </w:p>
    <w:bookmarkEnd w:id="33"/>
    <w:bookmarkStart w:id="34" w:name="archivar"/>
    <w:p>
      <w:pPr>
        <w:pStyle w:val="Heading2"/>
      </w:pPr>
      <w:r>
        <w:t xml:space="preserve">Archivar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9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archiveSpecialist</w:t>
      </w:r>
    </w:p>
    <w:p>
      <w:r>
        <w:pict>
          <v:rect style="width:0;height:1.5pt" o:hralign="center" o:hrstd="t" o:hr="t"/>
        </w:pict>
      </w:r>
    </w:p>
    <w:bookmarkEnd w:id="34"/>
    <w:bookmarkStart w:id="35" w:name="gestionar-horarios"/>
    <w:p>
      <w:pPr>
        <w:pStyle w:val="Heading2"/>
      </w:pPr>
      <w:r>
        <w:t xml:space="preserve">Gestionar Horarios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10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updateSchedule</w:t>
      </w:r>
    </w:p>
    <w:p>
      <w:r>
        <w:pict>
          <v:rect style="width:0;height:1.5pt" o:hralign="center" o:hrstd="t" o:hr="t"/>
        </w:pict>
      </w:r>
    </w:p>
    <w:bookmarkEnd w:id="35"/>
    <w:bookmarkStart w:id="36" w:name="gestionar-disponibilidad"/>
    <w:p>
      <w:pPr>
        <w:pStyle w:val="Heading2"/>
      </w:pPr>
      <w:r>
        <w:t xml:space="preserve">Gestionar Disponibilidad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11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updateAvailability</w:t>
      </w:r>
    </w:p>
    <w:p>
      <w:r>
        <w:pict>
          <v:rect style="width:0;height:1.5pt" o:hralign="center" o:hrstd="t" o:hr="t"/>
        </w:pict>
      </w:r>
    </w:p>
    <w:bookmarkEnd w:id="36"/>
    <w:bookmarkStart w:id="37" w:name="gestionar-certificaciones"/>
    <w:p>
      <w:pPr>
        <w:pStyle w:val="Heading2"/>
      </w:pPr>
      <w:r>
        <w:t xml:space="preserve">Gestionar Certificaciones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12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updateCertifications</w:t>
      </w:r>
    </w:p>
    <w:p>
      <w:r>
        <w:pict>
          <v:rect style="width:0;height:1.5pt" o:hralign="center" o:hrstd="t" o:hr="t"/>
        </w:pict>
      </w:r>
    </w:p>
    <w:bookmarkEnd w:id="37"/>
    <w:bookmarkStart w:id="38" w:name="gestionar-habilidades"/>
    <w:p>
      <w:pPr>
        <w:pStyle w:val="Heading2"/>
      </w:pPr>
      <w:r>
        <w:t xml:space="preserve">Gestionar Habilidades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13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updateSkills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ampos-protegidos"/>
    <w:p>
      <w:pPr>
        <w:pStyle w:val="Heading1"/>
      </w:pPr>
      <w:r>
        <w:t xml:space="preserve">Campos Protegidos</w:t>
      </w:r>
    </w:p>
    <w:p>
      <w:pPr>
        <w:pStyle w:val="FirstParagraph"/>
      </w:pPr>
      <w:r>
        <w:t xml:space="preserve">Los siguientes campos nunca podrán modificarse directamente desde el cliente:</w:t>
      </w:r>
    </w:p>
    <w:p>
      <w:pPr>
        <w:pStyle w:val="Compact"/>
        <w:numPr>
          <w:ilvl w:val="0"/>
          <w:numId w:val="1014"/>
        </w:numPr>
      </w:pPr>
      <w:r>
        <w:t xml:space="preserve">id</w:t>
      </w:r>
    </w:p>
    <w:p>
      <w:pPr>
        <w:pStyle w:val="Compact"/>
        <w:numPr>
          <w:ilvl w:val="0"/>
          <w:numId w:val="1014"/>
        </w:numPr>
      </w:pPr>
      <w:r>
        <w:t xml:space="preserve">organizationId</w:t>
      </w:r>
    </w:p>
    <w:p>
      <w:pPr>
        <w:pStyle w:val="Compact"/>
        <w:numPr>
          <w:ilvl w:val="0"/>
          <w:numId w:val="1014"/>
        </w:numPr>
      </w:pPr>
      <w:r>
        <w:t xml:space="preserve">createdAt</w:t>
      </w:r>
    </w:p>
    <w:p>
      <w:pPr>
        <w:pStyle w:val="Compact"/>
        <w:numPr>
          <w:ilvl w:val="0"/>
          <w:numId w:val="1014"/>
        </w:numPr>
      </w:pPr>
      <w:r>
        <w:t xml:space="preserve">createdBy</w:t>
      </w:r>
    </w:p>
    <w:p>
      <w:pPr>
        <w:pStyle w:val="Compact"/>
        <w:numPr>
          <w:ilvl w:val="0"/>
          <w:numId w:val="1014"/>
        </w:numPr>
      </w:pPr>
      <w:r>
        <w:t xml:space="preserve">updatedAt</w:t>
      </w:r>
    </w:p>
    <w:p>
      <w:pPr>
        <w:pStyle w:val="Compact"/>
        <w:numPr>
          <w:ilvl w:val="0"/>
          <w:numId w:val="1014"/>
        </w:numPr>
      </w:pPr>
      <w:r>
        <w:t xml:space="preserve">updatedBy</w:t>
      </w:r>
    </w:p>
    <w:p>
      <w:pPr>
        <w:pStyle w:val="FirstParagraph"/>
      </w:pPr>
      <w:r>
        <w:t xml:space="preserve">Su modificación solo será posible mediante procesos autorizados.</w:t>
      </w:r>
    </w:p>
    <w:p>
      <w:r>
        <w:pict>
          <v:rect style="width:0;height:1.5pt" o:hralign="center" o:hrstd="t" o:hr="t"/>
        </w:pict>
      </w:r>
    </w:p>
    <w:bookmarkEnd w:id="40"/>
    <w:bookmarkStart w:id="41" w:name="validaciones"/>
    <w:p>
      <w:pPr>
        <w:pStyle w:val="Heading1"/>
      </w:pPr>
      <w:r>
        <w:t xml:space="preserve">Validaciones</w:t>
      </w:r>
    </w:p>
    <w:p>
      <w:pPr>
        <w:pStyle w:val="FirstParagraph"/>
      </w:pPr>
      <w:r>
        <w:t xml:space="preserve">Las reglas verificarán:</w:t>
      </w:r>
    </w:p>
    <w:p>
      <w:pPr>
        <w:pStyle w:val="Compact"/>
        <w:numPr>
          <w:ilvl w:val="0"/>
          <w:numId w:val="1015"/>
        </w:numPr>
      </w:pPr>
      <w:r>
        <w:t xml:space="preserve">Usuario autenticado.</w:t>
      </w:r>
    </w:p>
    <w:p>
      <w:pPr>
        <w:pStyle w:val="Compact"/>
        <w:numPr>
          <w:ilvl w:val="0"/>
          <w:numId w:val="1015"/>
        </w:numPr>
      </w:pPr>
      <w:r>
        <w:t xml:space="preserve">Organización del usuario.</w:t>
      </w:r>
    </w:p>
    <w:p>
      <w:pPr>
        <w:pStyle w:val="Compact"/>
        <w:numPr>
          <w:ilvl w:val="0"/>
          <w:numId w:val="1015"/>
        </w:numPr>
      </w:pPr>
      <w:r>
        <w:t xml:space="preserve">Organización del documento.</w:t>
      </w:r>
    </w:p>
    <w:p>
      <w:pPr>
        <w:pStyle w:val="Compact"/>
        <w:numPr>
          <w:ilvl w:val="0"/>
          <w:numId w:val="1015"/>
        </w:numPr>
      </w:pPr>
      <w:r>
        <w:t xml:space="preserve">Permisos mínimos requeridos.</w:t>
      </w:r>
    </w:p>
    <w:p>
      <w:pPr>
        <w:pStyle w:val="Compact"/>
        <w:numPr>
          <w:ilvl w:val="0"/>
          <w:numId w:val="1015"/>
        </w:numPr>
      </w:pPr>
      <w:r>
        <w:t xml:space="preserve">Integridad de la ruta.</w:t>
      </w:r>
    </w:p>
    <w:p>
      <w:pPr>
        <w:pStyle w:val="FirstParagraph"/>
      </w:pPr>
      <w:r>
        <w:t xml:space="preserve">No validarán:</w:t>
      </w:r>
    </w:p>
    <w:p>
      <w:pPr>
        <w:pStyle w:val="Compact"/>
        <w:numPr>
          <w:ilvl w:val="0"/>
          <w:numId w:val="1016"/>
        </w:numPr>
      </w:pPr>
      <w:r>
        <w:t xml:space="preserve">Certificaciones.</w:t>
      </w:r>
    </w:p>
    <w:p>
      <w:pPr>
        <w:pStyle w:val="Compact"/>
        <w:numPr>
          <w:ilvl w:val="0"/>
          <w:numId w:val="1016"/>
        </w:numPr>
      </w:pPr>
      <w:r>
        <w:t xml:space="preserve">Horarios.</w:t>
      </w:r>
    </w:p>
    <w:p>
      <w:pPr>
        <w:pStyle w:val="Compact"/>
        <w:numPr>
          <w:ilvl w:val="0"/>
          <w:numId w:val="1016"/>
        </w:numPr>
      </w:pPr>
      <w:r>
        <w:t xml:space="preserve">Disponibilidad.</w:t>
      </w:r>
    </w:p>
    <w:p>
      <w:pPr>
        <w:pStyle w:val="Compact"/>
        <w:numPr>
          <w:ilvl w:val="0"/>
          <w:numId w:val="1016"/>
        </w:numPr>
      </w:pPr>
      <w:r>
        <w:t xml:space="preserve">Tratamientos asignados.</w:t>
      </w:r>
    </w:p>
    <w:p>
      <w:pPr>
        <w:pStyle w:val="Compact"/>
        <w:numPr>
          <w:ilvl w:val="0"/>
          <w:numId w:val="1016"/>
        </w:numPr>
      </w:pPr>
      <w:r>
        <w:t xml:space="preserve">Reglas clínicas.</w:t>
      </w:r>
    </w:p>
    <w:p>
      <w:r>
        <w:pict>
          <v:rect style="width:0;height:1.5pt" o:hralign="center" o:hrstd="t" o:hr="t"/>
        </w:pict>
      </w:r>
    </w:p>
    <w:bookmarkEnd w:id="41"/>
    <w:bookmarkStart w:id="42" w:name="multi-tenant"/>
    <w:p>
      <w:pPr>
        <w:pStyle w:val="Heading1"/>
      </w:pPr>
      <w:r>
        <w:t xml:space="preserve">Multi-Tenant</w:t>
      </w:r>
    </w:p>
    <w:p>
      <w:pPr>
        <w:pStyle w:val="FirstParagraph"/>
      </w:pPr>
      <w:r>
        <w:t xml:space="preserve">Cada operación deberá comprobar:</w:t>
      </w:r>
    </w:p>
    <w:p>
      <w:pPr>
        <w:pStyle w:val="Compact"/>
        <w:numPr>
          <w:ilvl w:val="0"/>
          <w:numId w:val="1017"/>
        </w:numPr>
      </w:pPr>
      <w:r>
        <w:t xml:space="preserve">organizationId del usuario.</w:t>
      </w:r>
    </w:p>
    <w:p>
      <w:pPr>
        <w:pStyle w:val="Compact"/>
        <w:numPr>
          <w:ilvl w:val="0"/>
          <w:numId w:val="1017"/>
        </w:numPr>
      </w:pPr>
      <w:r>
        <w:t xml:space="preserve">organizationId del documento.</w:t>
      </w:r>
    </w:p>
    <w:p>
      <w:pPr>
        <w:pStyle w:val="FirstParagraph"/>
      </w:pPr>
      <w:r>
        <w:t xml:space="preserve">No existirá acceso entre organizaciones.</w:t>
      </w:r>
    </w:p>
    <w:p>
      <w:r>
        <w:pict>
          <v:rect style="width:0;height:1.5pt" o:hralign="center" o:hrstd="t" o:hr="t"/>
        </w:pict>
      </w:r>
    </w:p>
    <w:bookmarkEnd w:id="42"/>
    <w:bookmarkStart w:id="43" w:name="subcolecciones"/>
    <w:p>
      <w:pPr>
        <w:pStyle w:val="Heading1"/>
      </w:pPr>
      <w:r>
        <w:t xml:space="preserve">Subcolecciones</w:t>
      </w:r>
    </w:p>
    <w:p>
      <w:pPr>
        <w:pStyle w:val="FirstParagraph"/>
      </w:pPr>
      <w:r>
        <w:t xml:space="preserve">Las siguientes subcolecciones heredarán el contexto de seguridad del especialista:</w:t>
      </w:r>
    </w:p>
    <w:p>
      <w:pPr>
        <w:pStyle w:val="SourceCode"/>
      </w:pPr>
      <w:r>
        <w:rPr>
          <w:rStyle w:val="VerbatimChar"/>
        </w:rPr>
        <w:t xml:space="preserve">specialists</w:t>
      </w:r>
      <w:r>
        <w:br/>
      </w:r>
      <w:r>
        <w:rPr>
          <w:rStyle w:val="VerbatimChar"/>
        </w:rPr>
        <w:t xml:space="preserve">└── specialistId</w:t>
      </w:r>
      <w:r>
        <w:br/>
      </w:r>
      <w:r>
        <w:rPr>
          <w:rStyle w:val="VerbatimChar"/>
        </w:rPr>
        <w:t xml:space="preserve">    ├── certifications</w:t>
      </w:r>
      <w:r>
        <w:br/>
      </w:r>
      <w:r>
        <w:rPr>
          <w:rStyle w:val="VerbatimChar"/>
        </w:rPr>
        <w:t xml:space="preserve">    ├── schedule</w:t>
      </w:r>
      <w:r>
        <w:br/>
      </w:r>
      <w:r>
        <w:rPr>
          <w:rStyle w:val="VerbatimChar"/>
        </w:rPr>
        <w:t xml:space="preserve">    ├── availability</w:t>
      </w:r>
      <w:r>
        <w:br/>
      </w:r>
      <w:r>
        <w:rPr>
          <w:rStyle w:val="VerbatimChar"/>
        </w:rPr>
        <w:t xml:space="preserve">    ├── documents</w:t>
      </w:r>
      <w:r>
        <w:br/>
      </w:r>
      <w:r>
        <w:rPr>
          <w:rStyle w:val="VerbatimChar"/>
        </w:rPr>
        <w:t xml:space="preserve">    ├── audit</w:t>
      </w:r>
      <w:r>
        <w:br/>
      </w:r>
      <w:r>
        <w:rPr>
          <w:rStyle w:val="VerbatimChar"/>
        </w:rPr>
        <w:t xml:space="preserve">    └── timeline</w:t>
      </w:r>
    </w:p>
    <w:p>
      <w:pPr>
        <w:pStyle w:val="FirstParagraph"/>
      </w:pPr>
      <w:r>
        <w:t xml:space="preserve">Cada una podrá incorporar reglas adicionales cuando sea necesario.</w:t>
      </w:r>
    </w:p>
    <w:p>
      <w:r>
        <w:pict>
          <v:rect style="width:0;height:1.5pt" o:hralign="center" o:hrstd="t" o:hr="t"/>
        </w:pict>
      </w:r>
    </w:p>
    <w:bookmarkEnd w:id="43"/>
    <w:bookmarkStart w:id="44" w:name="eliminación-física"/>
    <w:p>
      <w:pPr>
        <w:pStyle w:val="Heading1"/>
      </w:pPr>
      <w:r>
        <w:t xml:space="preserve">Eliminación Física</w:t>
      </w:r>
    </w:p>
    <w:p>
      <w:pPr>
        <w:pStyle w:val="FirstParagraph"/>
      </w:pPr>
      <w:r>
        <w:t xml:space="preserve">No estará permitida.</w:t>
      </w:r>
    </w:p>
    <w:p>
      <w:pPr>
        <w:pStyle w:val="BodyText"/>
      </w:pPr>
      <w:r>
        <w:t xml:space="preserve">Los especialistas deberán archivarse para preservar:</w:t>
      </w:r>
    </w:p>
    <w:p>
      <w:pPr>
        <w:pStyle w:val="Compact"/>
        <w:numPr>
          <w:ilvl w:val="0"/>
          <w:numId w:val="1018"/>
        </w:numPr>
      </w:pPr>
      <w:r>
        <w:t xml:space="preserve">Historial.</w:t>
      </w:r>
    </w:p>
    <w:p>
      <w:pPr>
        <w:pStyle w:val="Compact"/>
        <w:numPr>
          <w:ilvl w:val="0"/>
          <w:numId w:val="1018"/>
        </w:numPr>
      </w:pPr>
      <w:r>
        <w:t xml:space="preserve">Auditoría.</w:t>
      </w:r>
    </w:p>
    <w:p>
      <w:pPr>
        <w:pStyle w:val="Compact"/>
        <w:numPr>
          <w:ilvl w:val="0"/>
          <w:numId w:val="1018"/>
        </w:numPr>
      </w:pPr>
      <w:r>
        <w:t xml:space="preserve">Métricas.</w:t>
      </w:r>
    </w:p>
    <w:p>
      <w:pPr>
        <w:pStyle w:val="Compact"/>
        <w:numPr>
          <w:ilvl w:val="0"/>
          <w:numId w:val="1018"/>
        </w:numPr>
      </w:pPr>
      <w:r>
        <w:t xml:space="preserve">Referencias desde otros dominios.</w:t>
      </w:r>
    </w:p>
    <w:p>
      <w:r>
        <w:pict>
          <v:rect style="width:0;height:1.5pt" o:hralign="center" o:hrstd="t" o:hr="t"/>
        </w:pict>
      </w:r>
    </w:p>
    <w:bookmarkEnd w:id="44"/>
    <w:bookmarkStart w:id="45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Toda modificación autorizada deberá registrar:</w:t>
      </w:r>
    </w:p>
    <w:p>
      <w:pPr>
        <w:pStyle w:val="Compact"/>
        <w:numPr>
          <w:ilvl w:val="0"/>
          <w:numId w:val="1019"/>
        </w:numPr>
      </w:pPr>
      <w:r>
        <w:t xml:space="preserve">Usuario.</w:t>
      </w:r>
    </w:p>
    <w:p>
      <w:pPr>
        <w:pStyle w:val="Compact"/>
        <w:numPr>
          <w:ilvl w:val="0"/>
          <w:numId w:val="1019"/>
        </w:numPr>
      </w:pPr>
      <w:r>
        <w:t xml:space="preserve">Organización.</w:t>
      </w:r>
    </w:p>
    <w:p>
      <w:pPr>
        <w:pStyle w:val="Compact"/>
        <w:numPr>
          <w:ilvl w:val="0"/>
          <w:numId w:val="1019"/>
        </w:numPr>
      </w:pPr>
      <w:r>
        <w:t xml:space="preserve">Operación.</w:t>
      </w:r>
    </w:p>
    <w:p>
      <w:pPr>
        <w:pStyle w:val="Compact"/>
        <w:numPr>
          <w:ilvl w:val="0"/>
          <w:numId w:val="1019"/>
        </w:numPr>
      </w:pPr>
      <w:r>
        <w:t xml:space="preserve">Fecha.</w:t>
      </w:r>
    </w:p>
    <w:p>
      <w:pPr>
        <w:pStyle w:val="Compact"/>
        <w:numPr>
          <w:ilvl w:val="0"/>
          <w:numId w:val="1019"/>
        </w:numPr>
      </w:pPr>
      <w:r>
        <w:t xml:space="preserve">Correlation ID.</w:t>
      </w:r>
    </w:p>
    <w:p>
      <w:pPr>
        <w:pStyle w:val="FirstParagraph"/>
      </w:pPr>
      <w:r>
        <w:t xml:space="preserve">La auditoría será responsabilidad del backend.</w:t>
      </w:r>
    </w:p>
    <w:p>
      <w:r>
        <w:pict>
          <v:rect style="width:0;height:1.5pt" o:hralign="center" o:hrstd="t" o:hr="t"/>
        </w:pict>
      </w:r>
    </w:p>
    <w:bookmarkEnd w:id="45"/>
    <w:bookmarkStart w:id="48" w:name="estrategia-de-pruebas"/>
    <w:p>
      <w:pPr>
        <w:pStyle w:val="Heading1"/>
      </w:pPr>
      <w:r>
        <w:t xml:space="preserve">Estrategia de Pruebas</w:t>
      </w:r>
    </w:p>
    <w:p>
      <w:pPr>
        <w:pStyle w:val="FirstParagraph"/>
      </w:pPr>
      <w:r>
        <w:t xml:space="preserve">Se crearán pruebas automáticas para validar:</w:t>
      </w:r>
    </w:p>
    <w:bookmarkStart w:id="46" w:name="accesos-permitidos"/>
    <w:p>
      <w:pPr>
        <w:pStyle w:val="Heading2"/>
      </w:pPr>
      <w:r>
        <w:t xml:space="preserve">Accesos Permitidos</w:t>
      </w:r>
    </w:p>
    <w:p>
      <w:pPr>
        <w:pStyle w:val="Compact"/>
        <w:numPr>
          <w:ilvl w:val="0"/>
          <w:numId w:val="1020"/>
        </w:numPr>
      </w:pPr>
      <w:r>
        <w:t xml:space="preserve">Lectura autorizada.</w:t>
      </w:r>
    </w:p>
    <w:p>
      <w:pPr>
        <w:pStyle w:val="Compact"/>
        <w:numPr>
          <w:ilvl w:val="0"/>
          <w:numId w:val="1020"/>
        </w:numPr>
      </w:pPr>
      <w:r>
        <w:t xml:space="preserve">Consulta autorizada.</w:t>
      </w:r>
    </w:p>
    <w:bookmarkEnd w:id="46"/>
    <w:bookmarkStart w:id="47" w:name="accesos-denegados"/>
    <w:p>
      <w:pPr>
        <w:pStyle w:val="Heading2"/>
      </w:pPr>
      <w:r>
        <w:t xml:space="preserve">Accesos Denegados</w:t>
      </w:r>
    </w:p>
    <w:p>
      <w:pPr>
        <w:pStyle w:val="Compact"/>
        <w:numPr>
          <w:ilvl w:val="0"/>
          <w:numId w:val="1021"/>
        </w:numPr>
      </w:pPr>
      <w:r>
        <w:t xml:space="preserve">Usuario sin autenticar.</w:t>
      </w:r>
    </w:p>
    <w:p>
      <w:pPr>
        <w:pStyle w:val="Compact"/>
        <w:numPr>
          <w:ilvl w:val="0"/>
          <w:numId w:val="1021"/>
        </w:numPr>
      </w:pPr>
      <w:r>
        <w:t xml:space="preserve">Organización incorrecta.</w:t>
      </w:r>
    </w:p>
    <w:p>
      <w:pPr>
        <w:pStyle w:val="Compact"/>
        <w:numPr>
          <w:ilvl w:val="0"/>
          <w:numId w:val="1021"/>
        </w:numPr>
      </w:pPr>
      <w:r>
        <w:t xml:space="preserve">Permisos insuficientes.</w:t>
      </w:r>
    </w:p>
    <w:p>
      <w:pPr>
        <w:pStyle w:val="Compact"/>
        <w:numPr>
          <w:ilvl w:val="0"/>
          <w:numId w:val="1021"/>
        </w:numPr>
      </w:pPr>
      <w:r>
        <w:t xml:space="preserve">Escrituras directas.</w:t>
      </w:r>
    </w:p>
    <w:p>
      <w:pPr>
        <w:pStyle w:val="Compact"/>
        <w:numPr>
          <w:ilvl w:val="0"/>
          <w:numId w:val="1021"/>
        </w:numPr>
      </w:pPr>
      <w:r>
        <w:t xml:space="preserve">Modificación de campos protegidos.</w:t>
      </w:r>
    </w:p>
    <w:p>
      <w:pPr>
        <w:pStyle w:val="FirstParagraph"/>
      </w:pPr>
      <w:r>
        <w:t xml:space="preserve">Las pruebas deberán ejecutarse mediante Firebase Emulator Suite.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22"/>
        </w:numPr>
      </w:pPr>
      <w:r>
        <w:t xml:space="preserve">Reglas demasiado permisivas.</w:t>
      </w:r>
    </w:p>
    <w:p>
      <w:pPr>
        <w:pStyle w:val="Compact"/>
        <w:numPr>
          <w:ilvl w:val="0"/>
          <w:numId w:val="1022"/>
        </w:numPr>
      </w:pPr>
      <w:r>
        <w:t xml:space="preserve">Acceso entre organizaciones.</w:t>
      </w:r>
    </w:p>
    <w:p>
      <w:pPr>
        <w:pStyle w:val="Compact"/>
        <w:numPr>
          <w:ilvl w:val="0"/>
          <w:numId w:val="1022"/>
        </w:numPr>
      </w:pPr>
      <w:r>
        <w:t xml:space="preserve">Escrituras directas.</w:t>
      </w:r>
    </w:p>
    <w:p>
      <w:pPr>
        <w:pStyle w:val="Compact"/>
        <w:numPr>
          <w:ilvl w:val="0"/>
          <w:numId w:val="1022"/>
        </w:numPr>
      </w:pPr>
      <w:r>
        <w:t xml:space="preserve">Duplicación de validaciones entre reglas y backend.</w:t>
      </w:r>
    </w:p>
    <w:p>
      <w:pPr>
        <w:pStyle w:val="FirstParagraph"/>
      </w:pPr>
      <w:r>
        <w:t xml:space="preserve">Toda modificación de las reglas deberá revisarse arquitectónicamente antes de su despliegue.</w:t>
      </w:r>
    </w:p>
    <w:p>
      <w:r>
        <w:pict>
          <v:rect style="width:0;height:1.5pt" o:hralign="center" o:hrstd="t" o:hr="t"/>
        </w:pict>
      </w:r>
    </w:p>
    <w:bookmarkEnd w:id="49"/>
    <w:bookmarkStart w:id="50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23"/>
        </w:numPr>
      </w:pPr>
      <w:r>
        <w:t xml:space="preserve">Lecturas protegidas.</w:t>
      </w:r>
    </w:p>
    <w:p>
      <w:pPr>
        <w:pStyle w:val="Compact"/>
        <w:numPr>
          <w:ilvl w:val="0"/>
          <w:numId w:val="1023"/>
        </w:numPr>
      </w:pPr>
      <w:r>
        <w:t xml:space="preserve">Escrituras restringidas.</w:t>
      </w:r>
    </w:p>
    <w:p>
      <w:pPr>
        <w:pStyle w:val="Compact"/>
        <w:numPr>
          <w:ilvl w:val="0"/>
          <w:numId w:val="1023"/>
        </w:numPr>
      </w:pPr>
      <w:r>
        <w:t xml:space="preserve">Multi-Tenant validado.</w:t>
      </w:r>
    </w:p>
    <w:p>
      <w:pPr>
        <w:pStyle w:val="Compact"/>
        <w:numPr>
          <w:ilvl w:val="0"/>
          <w:numId w:val="1023"/>
        </w:numPr>
      </w:pPr>
      <w:r>
        <w:t xml:space="preserve">Campos protegidos definidos.</w:t>
      </w:r>
    </w:p>
    <w:p>
      <w:pPr>
        <w:pStyle w:val="Compact"/>
        <w:numPr>
          <w:ilvl w:val="0"/>
          <w:numId w:val="1023"/>
        </w:numPr>
      </w:pPr>
      <w:r>
        <w:t xml:space="preserve">Integración con Cloud Functions documentada.</w:t>
      </w:r>
    </w:p>
    <w:p>
      <w:pPr>
        <w:pStyle w:val="Compact"/>
        <w:numPr>
          <w:ilvl w:val="0"/>
          <w:numId w:val="1023"/>
        </w:numPr>
      </w:pPr>
      <w:r>
        <w:t xml:space="preserve">Estrategia de pruebas incluida.</w:t>
      </w:r>
    </w:p>
    <w:p>
      <w:r>
        <w:pict>
          <v:rect style="width:0;height:1.5pt" o:hralign="center" o:hrstd="t" o:hr="t"/>
        </w:pict>
      </w:r>
    </w:p>
    <w:bookmarkEnd w:id="50"/>
    <w:bookmarkStart w:id="51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4"/>
        </w:numPr>
      </w:pPr>
      <w:r>
        <w:t xml:space="preserve">SPECIALIST001_DOMAIN_ARCHITECTURE.md</w:t>
      </w:r>
    </w:p>
    <w:p>
      <w:pPr>
        <w:pStyle w:val="Compact"/>
        <w:numPr>
          <w:ilvl w:val="0"/>
          <w:numId w:val="1024"/>
        </w:numPr>
      </w:pPr>
      <w:r>
        <w:t xml:space="preserve">SPECIALIST002_DATA_MODEL.md</w:t>
      </w:r>
    </w:p>
    <w:p>
      <w:pPr>
        <w:pStyle w:val="Compact"/>
        <w:numPr>
          <w:ilvl w:val="0"/>
          <w:numId w:val="1024"/>
        </w:numPr>
      </w:pPr>
      <w:r>
        <w:t xml:space="preserve">SPECIALIST005_CLOUD_FUNCTIONS_API_SPECIFICATION.md</w:t>
      </w:r>
    </w:p>
    <w:p>
      <w:pPr>
        <w:pStyle w:val="Compact"/>
        <w:numPr>
          <w:ilvl w:val="0"/>
          <w:numId w:val="1024"/>
        </w:numPr>
      </w:pPr>
      <w:r>
        <w:t xml:space="preserve">SEC001_SECURITY_ARCHITECTURE.md</w:t>
      </w:r>
    </w:p>
    <w:p>
      <w:pPr>
        <w:pStyle w:val="Compact"/>
        <w:numPr>
          <w:ilvl w:val="0"/>
          <w:numId w:val="1024"/>
        </w:numPr>
      </w:pPr>
      <w:r>
        <w:t xml:space="preserve">SEC002_AUTHORIZATION_MODEL.md</w:t>
      </w:r>
    </w:p>
    <w:p>
      <w:pPr>
        <w:pStyle w:val="Compact"/>
        <w:numPr>
          <w:ilvl w:val="0"/>
          <w:numId w:val="1024"/>
        </w:numPr>
      </w:pPr>
      <w:r>
        <w:t xml:space="preserve">FB002_FIRESTORE_REPOSITORY_PATTERN.md</w:t>
      </w:r>
    </w:p>
    <w:p>
      <w:r>
        <w:pict>
          <v:rect style="width:0;height:1.5pt" o:hralign="center" o:hrstd="t" o:hr="t"/>
        </w:pict>
      </w:r>
    </w:p>
    <w:bookmarkEnd w:id="51"/>
    <w:bookmarkStart w:id="52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especificación oficial de Firestore Security Rules del dominio Specialists.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2026-06-30T17:28:01Z</dcterms:created>
  <dcterms:modified xsi:type="dcterms:W3CDTF">2026-06-30T17:28:01Z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