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X0ee39410295a0cbacbd90c77462a0260d16ca29"/>
    <w:p>
      <w:pPr>
        <w:pStyle w:val="Heading1"/>
      </w:pPr>
      <w:r>
        <w:t xml:space="preserve">APP006 — FIRESTORE SECURITY RULES SPECIFICATION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de seguridad para el dominio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 </w:t>
      </w:r>
      <w:r>
        <w:t xml:space="preserve">mediante Firestore Security Rules.</w:t>
      </w:r>
    </w:p>
    <w:p>
      <w:pPr>
        <w:pStyle w:val="BodyText"/>
      </w:pPr>
      <w:r>
        <w:t xml:space="preserve">Las reglas protegerán el acceso a los documentos de la agenda y complementarán las validaciones realizadas por Cloud Functions.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Colección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Subcolecciones.</w:t>
      </w:r>
    </w:p>
    <w:p>
      <w:pPr>
        <w:pStyle w:val="Compact"/>
        <w:numPr>
          <w:ilvl w:val="0"/>
          <w:numId w:val="1001"/>
        </w:numPr>
      </w:pPr>
      <w:r>
        <w:t xml:space="preserve">Consultas.</w:t>
      </w:r>
    </w:p>
    <w:p>
      <w:pPr>
        <w:pStyle w:val="Compact"/>
        <w:numPr>
          <w:ilvl w:val="0"/>
          <w:numId w:val="1001"/>
        </w:numPr>
      </w:pPr>
      <w:r>
        <w:t xml:space="preserve">Lecturas.</w:t>
      </w:r>
    </w:p>
    <w:p>
      <w:pPr>
        <w:pStyle w:val="Compact"/>
        <w:numPr>
          <w:ilvl w:val="0"/>
          <w:numId w:val="1001"/>
        </w:numPr>
      </w:pPr>
      <w:r>
        <w:t xml:space="preserve">Escrituras.</w:t>
      </w:r>
    </w:p>
    <w:p>
      <w:pPr>
        <w:pStyle w:val="Compact"/>
        <w:numPr>
          <w:ilvl w:val="0"/>
          <w:numId w:val="1001"/>
        </w:numPr>
      </w:pPr>
      <w:r>
        <w:t xml:space="preserve">Eliminación lógica.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Las reglas deberán cumplir:</w:t>
      </w:r>
    </w:p>
    <w:p>
      <w:pPr>
        <w:pStyle w:val="Compact"/>
        <w:numPr>
          <w:ilvl w:val="0"/>
          <w:numId w:val="1002"/>
        </w:numPr>
      </w:pPr>
      <w:r>
        <w:t xml:space="preserve">Least Privilege.</w:t>
      </w:r>
    </w:p>
    <w:p>
      <w:pPr>
        <w:pStyle w:val="Compact"/>
        <w:numPr>
          <w:ilvl w:val="0"/>
          <w:numId w:val="1002"/>
        </w:numPr>
      </w:pPr>
      <w:r>
        <w:t xml:space="preserve">Zero Trust.</w:t>
      </w:r>
    </w:p>
    <w:p>
      <w:pPr>
        <w:pStyle w:val="Compact"/>
        <w:numPr>
          <w:ilvl w:val="0"/>
          <w:numId w:val="1002"/>
        </w:numPr>
      </w:pPr>
      <w:r>
        <w:t xml:space="preserve">Multi-Tenant.</w:t>
      </w:r>
    </w:p>
    <w:p>
      <w:pPr>
        <w:pStyle w:val="Compact"/>
        <w:numPr>
          <w:ilvl w:val="0"/>
          <w:numId w:val="1002"/>
        </w:numPr>
      </w:pPr>
      <w:r>
        <w:t xml:space="preserve">Defense in Depth.</w:t>
      </w:r>
    </w:p>
    <w:p>
      <w:pPr>
        <w:pStyle w:val="Compact"/>
        <w:numPr>
          <w:ilvl w:val="0"/>
          <w:numId w:val="1002"/>
        </w:numPr>
      </w:pPr>
      <w:r>
        <w:t xml:space="preserve">Fail Secure.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FirstParagraph"/>
      </w:pPr>
      <w:r>
        <w:t xml:space="preserve">```text id=</w:t>
      </w:r>
      <w:r>
        <w:t xml:space="preserve">“appointment-security-flow”</w:t>
      </w:r>
      <w:r>
        <w:t xml:space="preserve"> </w:t>
      </w:r>
      <w:r>
        <w:t xml:space="preserve">Cliente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Firebase Authentication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Security Rules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Firestore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Cloud Functions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Las reglas controlan el acceso.</w:t>
      </w:r>
      <w:r>
        <w:br/>
      </w:r>
      <w:r>
        <w:br/>
      </w:r>
      <w:r>
        <w:rPr>
          <w:rStyle w:val="VerbatimChar"/>
        </w:rPr>
        <w:t xml:space="preserve">Las Cloud Functions ejecutan el negocio.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Colección</w:t>
      </w:r>
      <w:r>
        <w:br/>
      </w:r>
      <w:r>
        <w:br/>
      </w:r>
      <w:r>
        <w:rPr>
          <w:rStyle w:val="VerbatimChar"/>
        </w:rPr>
        <w:t xml:space="preserve">```text id="appointments-path"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└── {organizationId}</w:t>
      </w:r>
      <w:r>
        <w:br/>
      </w:r>
      <w:r>
        <w:rPr>
          <w:rStyle w:val="VerbatimChar"/>
        </w:rPr>
        <w:t xml:space="preserve">    └── appointments</w:t>
      </w:r>
      <w:r>
        <w:br/>
      </w:r>
      <w:r>
        <w:rPr>
          <w:rStyle w:val="VerbatimChar"/>
        </w:rPr>
        <w:t xml:space="preserve">        └── {appointmentId}</w:t>
      </w:r>
    </w:p>
    <w:p>
      <w:pPr>
        <w:pStyle w:val="FirstParagraph"/>
      </w:pPr>
      <w:r>
        <w:t xml:space="preserve">Toda operación deberá ejecutarse dentro del contexto de una organización.</w:t>
      </w:r>
    </w:p>
    <w:p>
      <w:r>
        <w:pict>
          <v:rect style="width:0;height:1.5pt" o:hralign="center" o:hrstd="t" o:hr="t"/>
        </w:pict>
      </w:r>
    </w:p>
    <w:bookmarkEnd w:id="25"/>
    <w:bookmarkStart w:id="28" w:name="lecturas"/>
    <w:p>
      <w:pPr>
        <w:pStyle w:val="Heading1"/>
      </w:pPr>
      <w:r>
        <w:t xml:space="preserve">Lecturas</w:t>
      </w:r>
    </w:p>
    <w:bookmarkStart w:id="26" w:name="obtener-cita"/>
    <w:p>
      <w:pPr>
        <w:pStyle w:val="Heading2"/>
      </w:pPr>
      <w:r>
        <w:t xml:space="preserve">Obtener Cita</w:t>
      </w:r>
    </w:p>
    <w:p>
      <w:pPr>
        <w:pStyle w:val="FirstParagraph"/>
      </w:pPr>
      <w:r>
        <w:t xml:space="preserve">Permitido únicamente cuando:</w:t>
      </w:r>
    </w:p>
    <w:p>
      <w:pPr>
        <w:pStyle w:val="Compact"/>
        <w:numPr>
          <w:ilvl w:val="0"/>
          <w:numId w:val="1003"/>
        </w:numPr>
      </w:pPr>
      <w:r>
        <w:t xml:space="preserve">Usuario autenticado.</w:t>
      </w:r>
    </w:p>
    <w:p>
      <w:pPr>
        <w:pStyle w:val="Compact"/>
        <w:numPr>
          <w:ilvl w:val="0"/>
          <w:numId w:val="1003"/>
        </w:numPr>
      </w:pPr>
      <w:r>
        <w:t xml:space="preserve">Organización válida.</w:t>
      </w:r>
    </w:p>
    <w:p>
      <w:pPr>
        <w:pStyle w:val="Compact"/>
        <w:numPr>
          <w:ilvl w:val="0"/>
          <w:numId w:val="1003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appointments.read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consultar-agenda"/>
    <w:p>
      <w:pPr>
        <w:pStyle w:val="Heading2"/>
      </w:pPr>
      <w:r>
        <w:t xml:space="preserve">Consultar Agenda</w:t>
      </w:r>
    </w:p>
    <w:p>
      <w:pPr>
        <w:pStyle w:val="FirstParagraph"/>
      </w:pPr>
      <w:r>
        <w:t xml:space="preserve">Permitido únicamente cuando:</w:t>
      </w:r>
    </w:p>
    <w:p>
      <w:pPr>
        <w:pStyle w:val="Compact"/>
        <w:numPr>
          <w:ilvl w:val="0"/>
          <w:numId w:val="1004"/>
        </w:numPr>
      </w:pPr>
      <w:r>
        <w:t xml:space="preserve">Usuario autenticado.</w:t>
      </w:r>
    </w:p>
    <w:p>
      <w:pPr>
        <w:pStyle w:val="Compact"/>
        <w:numPr>
          <w:ilvl w:val="0"/>
          <w:numId w:val="1004"/>
        </w:numPr>
      </w:pPr>
      <w:r>
        <w:t xml:space="preserve">Organización válida.</w:t>
      </w:r>
    </w:p>
    <w:p>
      <w:pPr>
        <w:pStyle w:val="Compact"/>
        <w:numPr>
          <w:ilvl w:val="0"/>
          <w:numId w:val="1004"/>
        </w:numPr>
      </w:pPr>
      <w:r>
        <w:t xml:space="preserve">Permiso</w:t>
      </w:r>
      <w:r>
        <w:t xml:space="preserve"> </w:t>
      </w:r>
      <w:r>
        <w:rPr>
          <w:rStyle w:val="VerbatimChar"/>
        </w:rPr>
        <w:t xml:space="preserve">appointments.read</w:t>
      </w:r>
      <w:r>
        <w:t xml:space="preserve">.</w:t>
      </w:r>
    </w:p>
    <w:p>
      <w:pPr>
        <w:pStyle w:val="FirstParagraph"/>
      </w:pPr>
      <w:r>
        <w:t xml:space="preserve">Las consultas deberán respetar los índices definidos en el modelo de datos.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escrituras"/>
    <w:p>
      <w:pPr>
        <w:pStyle w:val="Heading1"/>
      </w:pPr>
      <w:r>
        <w:t xml:space="preserve">Escrituras</w:t>
      </w:r>
    </w:p>
    <w:bookmarkStart w:id="29" w:name="crear"/>
    <w:p>
      <w:pPr>
        <w:pStyle w:val="Heading2"/>
      </w:pPr>
      <w:r>
        <w:t xml:space="preserve">Crear</w:t>
      </w:r>
    </w:p>
    <w:p>
      <w:pPr>
        <w:pStyle w:val="FirstParagraph"/>
      </w:pPr>
      <w:r>
        <w:t xml:space="preserve">Permitido exclusivamente mediante:</w:t>
      </w:r>
    </w:p>
    <w:p>
      <w:pPr>
        <w:pStyle w:val="Compact"/>
        <w:numPr>
          <w:ilvl w:val="0"/>
          <w:numId w:val="1005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createAppointment</w:t>
      </w:r>
      <w:r>
        <w:t xml:space="preserve">.</w:t>
      </w:r>
    </w:p>
    <w:p>
      <w:pPr>
        <w:pStyle w:val="FirstParagraph"/>
      </w:pPr>
      <w:r>
        <w:t xml:space="preserve">No se permitirá crear citas directamente desde el cliente.</w:t>
      </w:r>
    </w:p>
    <w:p>
      <w:r>
        <w:pict>
          <v:rect style="width:0;height:1.5pt" o:hralign="center" o:hrstd="t" o:hr="t"/>
        </w:pict>
      </w:r>
    </w:p>
    <w:bookmarkEnd w:id="29"/>
    <w:bookmarkStart w:id="30" w:name="confirmar"/>
    <w:p>
      <w:pPr>
        <w:pStyle w:val="Heading2"/>
      </w:pPr>
      <w:r>
        <w:t xml:space="preserve">Confirmar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6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confirmAppointment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reprogramar"/>
    <w:p>
      <w:pPr>
        <w:pStyle w:val="Heading2"/>
      </w:pPr>
      <w:r>
        <w:t xml:space="preserve">Reprogramar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7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rescheduleAppointment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cancelar"/>
    <w:p>
      <w:pPr>
        <w:pStyle w:val="Heading2"/>
      </w:pPr>
      <w:r>
        <w:t xml:space="preserve">Cancelar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8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cancelAppointment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check-in"/>
    <w:p>
      <w:pPr>
        <w:pStyle w:val="Heading2"/>
      </w:pPr>
      <w:r>
        <w:t xml:space="preserve">Check-in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09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checkInAppointment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iniciar-tratamiento"/>
    <w:p>
      <w:pPr>
        <w:pStyle w:val="Heading2"/>
      </w:pPr>
      <w:r>
        <w:t xml:space="preserve">Iniciar Tratamiento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10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startAppointment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finalizar"/>
    <w:p>
      <w:pPr>
        <w:pStyle w:val="Heading2"/>
      </w:pPr>
      <w:r>
        <w:t xml:space="preserve">Finalizar</w:t>
      </w:r>
    </w:p>
    <w:p>
      <w:pPr>
        <w:pStyle w:val="FirstParagraph"/>
      </w:pPr>
      <w:r>
        <w:t xml:space="preserve">Permitido únicamente mediante:</w:t>
      </w:r>
    </w:p>
    <w:p>
      <w:pPr>
        <w:pStyle w:val="Compact"/>
        <w:numPr>
          <w:ilvl w:val="0"/>
          <w:numId w:val="1011"/>
        </w:numPr>
      </w:pPr>
      <w:r>
        <w:t xml:space="preserve">Cloud Function</w:t>
      </w:r>
      <w:r>
        <w:t xml:space="preserve"> </w:t>
      </w:r>
      <w:r>
        <w:rPr>
          <w:rStyle w:val="VerbatimChar"/>
        </w:rPr>
        <w:t xml:space="preserve">completeAppointment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ampos-protegidos"/>
    <w:p>
      <w:pPr>
        <w:pStyle w:val="Heading1"/>
      </w:pPr>
      <w:r>
        <w:t xml:space="preserve">Campos Protegidos</w:t>
      </w:r>
    </w:p>
    <w:p>
      <w:pPr>
        <w:pStyle w:val="FirstParagraph"/>
      </w:pPr>
      <w:r>
        <w:t xml:space="preserve">Nunca podrán modificarse directamente:</w:t>
      </w:r>
    </w:p>
    <w:p>
      <w:pPr>
        <w:pStyle w:val="Compact"/>
        <w:numPr>
          <w:ilvl w:val="0"/>
          <w:numId w:val="1012"/>
        </w:numPr>
      </w:pPr>
      <w:r>
        <w:t xml:space="preserve">id</w:t>
      </w:r>
    </w:p>
    <w:p>
      <w:pPr>
        <w:pStyle w:val="Compact"/>
        <w:numPr>
          <w:ilvl w:val="0"/>
          <w:numId w:val="1012"/>
        </w:numPr>
      </w:pPr>
      <w:r>
        <w:t xml:space="preserve">organizationId</w:t>
      </w:r>
    </w:p>
    <w:p>
      <w:pPr>
        <w:pStyle w:val="Compact"/>
        <w:numPr>
          <w:ilvl w:val="0"/>
          <w:numId w:val="1012"/>
        </w:numPr>
      </w:pPr>
      <w:r>
        <w:t xml:space="preserve">customerId</w:t>
      </w:r>
    </w:p>
    <w:p>
      <w:pPr>
        <w:pStyle w:val="Compact"/>
        <w:numPr>
          <w:ilvl w:val="0"/>
          <w:numId w:val="1012"/>
        </w:numPr>
      </w:pPr>
      <w:r>
        <w:t xml:space="preserve">specialistId</w:t>
      </w:r>
    </w:p>
    <w:p>
      <w:pPr>
        <w:pStyle w:val="Compact"/>
        <w:numPr>
          <w:ilvl w:val="0"/>
          <w:numId w:val="1012"/>
        </w:numPr>
      </w:pPr>
      <w:r>
        <w:t xml:space="preserve">treatmentId</w:t>
      </w:r>
    </w:p>
    <w:p>
      <w:pPr>
        <w:pStyle w:val="Compact"/>
        <w:numPr>
          <w:ilvl w:val="0"/>
          <w:numId w:val="1012"/>
        </w:numPr>
      </w:pPr>
      <w:r>
        <w:t xml:space="preserve">createdAt</w:t>
      </w:r>
    </w:p>
    <w:p>
      <w:pPr>
        <w:pStyle w:val="Compact"/>
        <w:numPr>
          <w:ilvl w:val="0"/>
          <w:numId w:val="1012"/>
        </w:numPr>
      </w:pPr>
      <w:r>
        <w:t xml:space="preserve">createdBy</w:t>
      </w:r>
    </w:p>
    <w:p>
      <w:pPr>
        <w:pStyle w:val="FirstParagraph"/>
      </w:pPr>
      <w:r>
        <w:t xml:space="preserve">Las modificaciones deberán realizarse mediante procesos autorizados.</w:t>
      </w:r>
    </w:p>
    <w:p>
      <w:r>
        <w:pict>
          <v:rect style="width:0;height:1.5pt" o:hralign="center" o:hrstd="t" o:hr="t"/>
        </w:pict>
      </w:r>
    </w:p>
    <w:bookmarkEnd w:id="37"/>
    <w:bookmarkStart w:id="38" w:name="máquina-de-estados"/>
    <w:p>
      <w:pPr>
        <w:pStyle w:val="Heading1"/>
      </w:pPr>
      <w:r>
        <w:t xml:space="preserve">Máquina de Estados</w:t>
      </w:r>
    </w:p>
    <w:p>
      <w:pPr>
        <w:pStyle w:val="FirstParagraph"/>
      </w:pPr>
      <w:r>
        <w:t xml:space="preserve">Las Security Rules no validarán las transiciones del ciclo de vida.</w:t>
      </w:r>
    </w:p>
    <w:p>
      <w:pPr>
        <w:pStyle w:val="BodyText"/>
      </w:pPr>
      <w:r>
        <w:t xml:space="preserve">La máquina de estados definida en</w:t>
      </w:r>
      <w:r>
        <w:t xml:space="preserve"> </w:t>
      </w:r>
      <w:r>
        <w:rPr>
          <w:rStyle w:val="VerbatimChar"/>
        </w:rPr>
        <w:t xml:space="preserve">APP003A</w:t>
      </w:r>
      <w:r>
        <w:t xml:space="preserve"> </w:t>
      </w:r>
      <w:r>
        <w:t xml:space="preserve">será aplicada por los casos de uso y las Cloud Functions.</w:t>
      </w:r>
    </w:p>
    <w:p>
      <w:r>
        <w:pict>
          <v:rect style="width:0;height:1.5pt" o:hralign="center" o:hrstd="t" o:hr="t"/>
        </w:pict>
      </w:r>
    </w:p>
    <w:bookmarkEnd w:id="38"/>
    <w:bookmarkStart w:id="39" w:name="validaciones"/>
    <w:p>
      <w:pPr>
        <w:pStyle w:val="Heading1"/>
      </w:pPr>
      <w:r>
        <w:t xml:space="preserve">Validaciones</w:t>
      </w:r>
    </w:p>
    <w:p>
      <w:pPr>
        <w:pStyle w:val="FirstParagraph"/>
      </w:pPr>
      <w:r>
        <w:t xml:space="preserve">Las reglas verificarán:</w:t>
      </w:r>
    </w:p>
    <w:p>
      <w:pPr>
        <w:pStyle w:val="Compact"/>
        <w:numPr>
          <w:ilvl w:val="0"/>
          <w:numId w:val="1013"/>
        </w:numPr>
      </w:pPr>
      <w:r>
        <w:t xml:space="preserve">Usuario autenticado.</w:t>
      </w:r>
    </w:p>
    <w:p>
      <w:pPr>
        <w:pStyle w:val="Compact"/>
        <w:numPr>
          <w:ilvl w:val="0"/>
          <w:numId w:val="1013"/>
        </w:numPr>
      </w:pPr>
      <w:r>
        <w:t xml:space="preserve">Organización.</w:t>
      </w:r>
    </w:p>
    <w:p>
      <w:pPr>
        <w:pStyle w:val="Compact"/>
        <w:numPr>
          <w:ilvl w:val="0"/>
          <w:numId w:val="1013"/>
        </w:numPr>
      </w:pPr>
      <w:r>
        <w:t xml:space="preserve">Permisos.</w:t>
      </w:r>
    </w:p>
    <w:p>
      <w:pPr>
        <w:pStyle w:val="Compact"/>
        <w:numPr>
          <w:ilvl w:val="0"/>
          <w:numId w:val="1013"/>
        </w:numPr>
      </w:pPr>
      <w:r>
        <w:t xml:space="preserve">Existencia del documento cuando corresponda.</w:t>
      </w:r>
    </w:p>
    <w:p>
      <w:pPr>
        <w:pStyle w:val="Compact"/>
        <w:numPr>
          <w:ilvl w:val="0"/>
          <w:numId w:val="1013"/>
        </w:numPr>
      </w:pPr>
      <w:r>
        <w:t xml:space="preserve">Integridad de la ruta.</w:t>
      </w:r>
    </w:p>
    <w:p>
      <w:pPr>
        <w:pStyle w:val="FirstParagraph"/>
      </w:pPr>
      <w:r>
        <w:t xml:space="preserve">Las reglas no implementarán lógica de disponibilidad ni de conflicto de horarios.</w:t>
      </w:r>
    </w:p>
    <w:p>
      <w:r>
        <w:pict>
          <v:rect style="width:0;height:1.5pt" o:hralign="center" o:hrstd="t" o:hr="t"/>
        </w:pict>
      </w:r>
    </w:p>
    <w:bookmarkEnd w:id="39"/>
    <w:bookmarkStart w:id="40" w:name="multi-tenant"/>
    <w:p>
      <w:pPr>
        <w:pStyle w:val="Heading1"/>
      </w:pPr>
      <w:r>
        <w:t xml:space="preserve">Multi-Tenant</w:t>
      </w:r>
    </w:p>
    <w:p>
      <w:pPr>
        <w:pStyle w:val="FirstParagraph"/>
      </w:pPr>
      <w:r>
        <w:t xml:space="preserve">Todo acceso deberá validar:</w:t>
      </w:r>
    </w:p>
    <w:p>
      <w:pPr>
        <w:pStyle w:val="Compact"/>
        <w:numPr>
          <w:ilvl w:val="0"/>
          <w:numId w:val="1014"/>
        </w:numPr>
      </w:pPr>
      <w:r>
        <w:t xml:space="preserve">Organización del usuario.</w:t>
      </w:r>
    </w:p>
    <w:p>
      <w:pPr>
        <w:pStyle w:val="Compact"/>
        <w:numPr>
          <w:ilvl w:val="0"/>
          <w:numId w:val="1014"/>
        </w:numPr>
      </w:pPr>
      <w:r>
        <w:t xml:space="preserve">Organización del documento.</w:t>
      </w:r>
    </w:p>
    <w:p>
      <w:pPr>
        <w:pStyle w:val="FirstParagraph"/>
      </w:pPr>
      <w:r>
        <w:t xml:space="preserve">No existirá acceso cruzado entre organizaciones.</w:t>
      </w:r>
    </w:p>
    <w:p>
      <w:r>
        <w:pict>
          <v:rect style="width:0;height:1.5pt" o:hralign="center" o:hrstd="t" o:hr="t"/>
        </w:pict>
      </w:r>
    </w:p>
    <w:bookmarkEnd w:id="40"/>
    <w:bookmarkStart w:id="41" w:name="subcolecciones"/>
    <w:p>
      <w:pPr>
        <w:pStyle w:val="Heading1"/>
      </w:pPr>
      <w:r>
        <w:t xml:space="preserve">Subcolecciones</w:t>
      </w:r>
    </w:p>
    <w:p>
      <w:pPr>
        <w:pStyle w:val="FirstParagraph"/>
      </w:pPr>
      <w:r>
        <w:t xml:space="preserve">Se protegerán utilizando la herencia de contexto y reglas específicas cuando sea necesario.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5"/>
        </w:numPr>
      </w:pPr>
      <w:r>
        <w:t xml:space="preserve">notes</w:t>
      </w:r>
    </w:p>
    <w:p>
      <w:pPr>
        <w:pStyle w:val="Compact"/>
        <w:numPr>
          <w:ilvl w:val="0"/>
          <w:numId w:val="1015"/>
        </w:numPr>
      </w:pPr>
      <w:r>
        <w:t xml:space="preserve">timeline</w:t>
      </w:r>
    </w:p>
    <w:p>
      <w:pPr>
        <w:pStyle w:val="Compact"/>
        <w:numPr>
          <w:ilvl w:val="0"/>
          <w:numId w:val="1015"/>
        </w:numPr>
      </w:pPr>
      <w:r>
        <w:t xml:space="preserve">attachments</w:t>
      </w:r>
    </w:p>
    <w:p>
      <w:pPr>
        <w:pStyle w:val="Compact"/>
        <w:numPr>
          <w:ilvl w:val="0"/>
          <w:numId w:val="1015"/>
        </w:numPr>
      </w:pPr>
      <w:r>
        <w:t xml:space="preserve">audit</w:t>
      </w:r>
    </w:p>
    <w:p>
      <w:r>
        <w:pict>
          <v:rect style="width:0;height:1.5pt" o:hralign="center" o:hrstd="t" o:hr="t"/>
        </w:pict>
      </w:r>
    </w:p>
    <w:bookmarkEnd w:id="41"/>
    <w:bookmarkStart w:id="42" w:name="eliminación-física"/>
    <w:p>
      <w:pPr>
        <w:pStyle w:val="Heading1"/>
      </w:pPr>
      <w:r>
        <w:t xml:space="preserve">Eliminación Física</w:t>
      </w:r>
    </w:p>
    <w:p>
      <w:pPr>
        <w:pStyle w:val="FirstParagraph"/>
      </w:pPr>
      <w:r>
        <w:t xml:space="preserve">No permitida desde el cliente.</w:t>
      </w:r>
    </w:p>
    <w:p>
      <w:pPr>
        <w:pStyle w:val="BodyText"/>
      </w:pPr>
      <w:r>
        <w:t xml:space="preserve">Las citas permanecerán disponibles para auditoría y analítica.</w:t>
      </w:r>
    </w:p>
    <w:p>
      <w:r>
        <w:pict>
          <v:rect style="width:0;height:1.5pt" o:hralign="center" o:hrstd="t" o:hr="t"/>
        </w:pict>
      </w:r>
    </w:p>
    <w:bookmarkEnd w:id="42"/>
    <w:bookmarkStart w:id="43" w:name="auditoría"/>
    <w:p>
      <w:pPr>
        <w:pStyle w:val="Heading1"/>
      </w:pPr>
      <w:r>
        <w:t xml:space="preserve">Auditoría</w:t>
      </w:r>
    </w:p>
    <w:p>
      <w:pPr>
        <w:pStyle w:val="FirstParagraph"/>
      </w:pPr>
      <w:r>
        <w:t xml:space="preserve">La auditoría será responsabilidad de Cloud Functions y del sistema de observabilidad.</w:t>
      </w:r>
    </w:p>
    <w:p>
      <w:pPr>
        <w:pStyle w:val="BodyText"/>
      </w:pPr>
      <w:r>
        <w:t xml:space="preserve">Las Security Rules no registrarán eventos de negocio.</w:t>
      </w:r>
    </w:p>
    <w:p>
      <w:r>
        <w:pict>
          <v:rect style="width:0;height:1.5pt" o:hralign="center" o:hrstd="t" o:hr="t"/>
        </w:pict>
      </w:r>
    </w:p>
    <w:bookmarkEnd w:id="43"/>
    <w:bookmarkStart w:id="46" w:name="pruebas"/>
    <w:p>
      <w:pPr>
        <w:pStyle w:val="Heading1"/>
      </w:pPr>
      <w:r>
        <w:t xml:space="preserve">Pruebas</w:t>
      </w:r>
    </w:p>
    <w:p>
      <w:pPr>
        <w:pStyle w:val="FirstParagraph"/>
      </w:pPr>
      <w:r>
        <w:t xml:space="preserve">Se crearán pruebas automáticas para:</w:t>
      </w:r>
    </w:p>
    <w:bookmarkStart w:id="44" w:name="accesos-permitidos"/>
    <w:p>
      <w:pPr>
        <w:pStyle w:val="Heading2"/>
      </w:pPr>
      <w:r>
        <w:t xml:space="preserve">Accesos Permitidos</w:t>
      </w:r>
    </w:p>
    <w:p>
      <w:pPr>
        <w:pStyle w:val="Compact"/>
        <w:numPr>
          <w:ilvl w:val="0"/>
          <w:numId w:val="1016"/>
        </w:numPr>
      </w:pPr>
      <w:r>
        <w:t xml:space="preserve">Lectura autorizada.</w:t>
      </w:r>
    </w:p>
    <w:p>
      <w:pPr>
        <w:pStyle w:val="Compact"/>
        <w:numPr>
          <w:ilvl w:val="0"/>
          <w:numId w:val="1016"/>
        </w:numPr>
      </w:pPr>
      <w:r>
        <w:t xml:space="preserve">Consulta autorizada.</w:t>
      </w:r>
    </w:p>
    <w:bookmarkEnd w:id="44"/>
    <w:bookmarkStart w:id="45" w:name="accesos-denegados"/>
    <w:p>
      <w:pPr>
        <w:pStyle w:val="Heading2"/>
      </w:pPr>
      <w:r>
        <w:t xml:space="preserve">Accesos Denegados</w:t>
      </w:r>
    </w:p>
    <w:p>
      <w:pPr>
        <w:pStyle w:val="Compact"/>
        <w:numPr>
          <w:ilvl w:val="0"/>
          <w:numId w:val="1017"/>
        </w:numPr>
      </w:pPr>
      <w:r>
        <w:t xml:space="preserve">Usuario sin autenticar.</w:t>
      </w:r>
    </w:p>
    <w:p>
      <w:pPr>
        <w:pStyle w:val="Compact"/>
        <w:numPr>
          <w:ilvl w:val="0"/>
          <w:numId w:val="1017"/>
        </w:numPr>
      </w:pPr>
      <w:r>
        <w:t xml:space="preserve">Organización incorrecta.</w:t>
      </w:r>
    </w:p>
    <w:p>
      <w:pPr>
        <w:pStyle w:val="Compact"/>
        <w:numPr>
          <w:ilvl w:val="0"/>
          <w:numId w:val="1017"/>
        </w:numPr>
      </w:pPr>
      <w:r>
        <w:t xml:space="preserve">Permisos insuficientes.</w:t>
      </w:r>
    </w:p>
    <w:p>
      <w:pPr>
        <w:pStyle w:val="Compact"/>
        <w:numPr>
          <w:ilvl w:val="0"/>
          <w:numId w:val="1017"/>
        </w:numPr>
      </w:pPr>
      <w:r>
        <w:t xml:space="preserve">Escrituras directas.</w:t>
      </w:r>
    </w:p>
    <w:p>
      <w:pPr>
        <w:pStyle w:val="Compact"/>
        <w:numPr>
          <w:ilvl w:val="0"/>
          <w:numId w:val="1017"/>
        </w:numPr>
      </w:pPr>
      <w:r>
        <w:t xml:space="preserve">Modificación de campos protegidos.</w:t>
      </w:r>
    </w:p>
    <w:p>
      <w:pPr>
        <w:pStyle w:val="FirstParagraph"/>
      </w:pPr>
      <w:r>
        <w:t xml:space="preserve">Todas las pruebas se ejecutarán mediante Firebase Emulator Suite.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8"/>
        </w:numPr>
      </w:pPr>
      <w:r>
        <w:t xml:space="preserve">Reglas demasiado permisivas.</w:t>
      </w:r>
    </w:p>
    <w:p>
      <w:pPr>
        <w:pStyle w:val="Compact"/>
        <w:numPr>
          <w:ilvl w:val="0"/>
          <w:numId w:val="1018"/>
        </w:numPr>
      </w:pPr>
      <w:r>
        <w:t xml:space="preserve">Validaciones duplicadas entre reglas y backend.</w:t>
      </w:r>
    </w:p>
    <w:p>
      <w:pPr>
        <w:pStyle w:val="Compact"/>
        <w:numPr>
          <w:ilvl w:val="0"/>
          <w:numId w:val="1018"/>
        </w:numPr>
      </w:pPr>
      <w:r>
        <w:t xml:space="preserve">Acceso entre organizaciones.</w:t>
      </w:r>
    </w:p>
    <w:p>
      <w:pPr>
        <w:pStyle w:val="Compact"/>
        <w:numPr>
          <w:ilvl w:val="0"/>
          <w:numId w:val="1018"/>
        </w:numPr>
      </w:pPr>
      <w:r>
        <w:t xml:space="preserve">Escrituras directas no autorizadas.</w:t>
      </w:r>
    </w:p>
    <w:p>
      <w:pPr>
        <w:pStyle w:val="FirstParagraph"/>
      </w:pPr>
      <w:r>
        <w:t xml:space="preserve">Cada modificación deberá ser revisada antes de su despliegue.</w:t>
      </w:r>
    </w:p>
    <w:p>
      <w:r>
        <w:pict>
          <v:rect style="width:0;height:1.5pt" o:hralign="center" o:hrstd="t" o:hr="t"/>
        </w:pict>
      </w:r>
    </w:p>
    <w:bookmarkEnd w:id="47"/>
    <w:bookmarkStart w:id="48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9"/>
        </w:numPr>
      </w:pPr>
      <w:r>
        <w:t xml:space="preserve">Lecturas protegidas.</w:t>
      </w:r>
    </w:p>
    <w:p>
      <w:pPr>
        <w:pStyle w:val="Compact"/>
        <w:numPr>
          <w:ilvl w:val="0"/>
          <w:numId w:val="1019"/>
        </w:numPr>
      </w:pPr>
      <w:r>
        <w:t xml:space="preserve">Escrituras restringidas.</w:t>
      </w:r>
    </w:p>
    <w:p>
      <w:pPr>
        <w:pStyle w:val="Compact"/>
        <w:numPr>
          <w:ilvl w:val="0"/>
          <w:numId w:val="1019"/>
        </w:numPr>
      </w:pPr>
      <w:r>
        <w:t xml:space="preserve">Multi-Tenant validado.</w:t>
      </w:r>
    </w:p>
    <w:p>
      <w:pPr>
        <w:pStyle w:val="Compact"/>
        <w:numPr>
          <w:ilvl w:val="0"/>
          <w:numId w:val="1019"/>
        </w:numPr>
      </w:pPr>
      <w:r>
        <w:t xml:space="preserve">Campos protegidos identificados.</w:t>
      </w:r>
    </w:p>
    <w:p>
      <w:pPr>
        <w:pStyle w:val="Compact"/>
        <w:numPr>
          <w:ilvl w:val="0"/>
          <w:numId w:val="1019"/>
        </w:numPr>
      </w:pPr>
      <w:r>
        <w:t xml:space="preserve">Integración con Cloud Functions documentada.</w:t>
      </w:r>
    </w:p>
    <w:p>
      <w:pPr>
        <w:pStyle w:val="Compact"/>
        <w:numPr>
          <w:ilvl w:val="0"/>
          <w:numId w:val="1019"/>
        </w:numPr>
      </w:pPr>
      <w:r>
        <w:t xml:space="preserve">Estrategia de pruebas definida.</w:t>
      </w:r>
    </w:p>
    <w:p>
      <w:r>
        <w:pict>
          <v:rect style="width:0;height:1.5pt" o:hralign="center" o:hrstd="t" o:hr="t"/>
        </w:pict>
      </w:r>
    </w:p>
    <w:bookmarkEnd w:id="48"/>
    <w:bookmarkStart w:id="49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0"/>
        </w:numPr>
      </w:pPr>
      <w:r>
        <w:t xml:space="preserve">APP002_APPOINTMENT_DATA_MODEL.md</w:t>
      </w:r>
    </w:p>
    <w:p>
      <w:pPr>
        <w:pStyle w:val="Compact"/>
        <w:numPr>
          <w:ilvl w:val="0"/>
          <w:numId w:val="1020"/>
        </w:numPr>
      </w:pPr>
      <w:r>
        <w:t xml:space="preserve">APP003A_APPOINTMENT_STATE_MACHINE.md</w:t>
      </w:r>
    </w:p>
    <w:p>
      <w:pPr>
        <w:pStyle w:val="Compact"/>
        <w:numPr>
          <w:ilvl w:val="0"/>
          <w:numId w:val="1020"/>
        </w:numPr>
      </w:pPr>
      <w:r>
        <w:t xml:space="preserve">APP005_CLOUD_FUNCTIONS_API_SPECIFICATION.md</w:t>
      </w:r>
    </w:p>
    <w:p>
      <w:pPr>
        <w:pStyle w:val="Compact"/>
        <w:numPr>
          <w:ilvl w:val="0"/>
          <w:numId w:val="1020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20"/>
        </w:numPr>
      </w:pPr>
      <w:r>
        <w:t xml:space="preserve">SEC002_AUTHORIZATION_MODEL.md</w:t>
      </w:r>
    </w:p>
    <w:p>
      <w:pPr>
        <w:pStyle w:val="Compact"/>
        <w:numPr>
          <w:ilvl w:val="0"/>
          <w:numId w:val="1020"/>
        </w:numPr>
      </w:pPr>
      <w:r>
        <w:t xml:space="preserve">FB002_FIRESTORE_REPOSITORY_PATTERN.md</w:t>
      </w:r>
    </w:p>
    <w:p>
      <w:r>
        <w:pict>
          <v:rect style="width:0;height:1.5pt" o:hralign="center" o:hrstd="t" o:hr="t"/>
        </w:pict>
      </w:r>
    </w:p>
    <w:bookmarkEnd w:id="49"/>
    <w:bookmarkStart w:id="50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especificación oficial de Security Rules del dominio Appointments.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2026-06-30T17:12:20Z</dcterms:created>
  <dcterms:modified xsi:type="dcterms:W3CDTF">2026-06-30T17:12:20Z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